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ura-20260831.htm"/>
      <w:bookmarkStart w:id="1" w:name="ksaura202608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20"/>
        </w:rPr>
        <w:t>As filed with the Securities and Exchange Commission on September 1, 2026</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spacing w:before="40" w:after="283"/>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200" w:after="283"/>
        <w:jc w:val="center"/>
        <w:rPr>
          <w:rFonts w:ascii="Times New Roman" w:hAnsi="Times New Roman"/>
          <w:sz w:val="36"/>
        </w:rPr>
      </w:pPr>
      <w:r>
        <w:rPr>
          <w:rFonts w:ascii="Times New Roman" w:hAnsi="Times New Roman"/>
          <w:b/>
          <w:color w:val="000000"/>
          <w:sz w:val="36"/>
        </w:rPr>
        <w:t>FORM S-8</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REGISTRATION STATEMENT</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i/>
          <w:color w:val="000000"/>
          <w:sz w:val="24"/>
        </w:rPr>
        <w:t>Under</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i/>
          <w:color w:val="000000"/>
          <w:sz w:val="24"/>
        </w:rPr>
        <w:t>The Securities Act of 1933</w:t>
      </w:r>
      <w:r>
        <w:rPr>
          <w:rFonts w:ascii="Times New Roman" w:hAnsi="Times New Roman"/>
          <w:color w:val="000000"/>
          <w:sz w:val="24"/>
        </w:rPr>
        <w:t xml:space="preserve"> </w:t>
      </w:r>
    </w:p>
    <w:p>
      <w:pPr>
        <w:pStyle w:val="TextBody"/>
        <w:bidi w:val="0"/>
        <w:spacing w:before="200" w:after="283"/>
        <w:jc w:val="center"/>
        <w:rPr>
          <w:rFonts w:ascii="Times New Roman" w:hAnsi="Times New Roman"/>
          <w:sz w:val="48"/>
        </w:rPr>
      </w:pPr>
      <w:r>
        <w:rPr>
          <w:rFonts w:ascii="Times New Roman" w:hAnsi="Times New Roman"/>
          <w:b/>
          <w:color w:val="000000"/>
          <w:sz w:val="48"/>
        </w:rPr>
        <w:t>AURA BIOSCIENCES, INC.</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32-0271970</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80 Guest Street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Boston, MA 02135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(617) 500-8864</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(Address, including zip code and telephone number, including area code, of Registrant’s principal executive offices)</w:t>
      </w:r>
      <w:r>
        <w:rPr>
          <w:rFonts w:ascii="Times New Roman" w:hAnsi="Times New Roman"/>
          <w:color w:val="000000"/>
          <w:sz w:val="16"/>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Restricted Stock Unit Award Agreements (Inducement Awards)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Non-Qualified Stock Option Agreements (Inducement Awards)</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(Full title of the plans)</w:t>
      </w:r>
      <w:r>
        <w:rPr>
          <w:rFonts w:ascii="Times New Roman" w:hAnsi="Times New Roman"/>
          <w:color w:val="000000"/>
          <w:sz w:val="16"/>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0"/>
        </w:rPr>
        <w:t>Natalie Holles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Chief Executive Officer and President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Aura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80 Guest Street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Boston, MA 02135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(617) 500-8864</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(Name, address, including zip code, and telephone number, including area code, of agent for service)</w:t>
      </w:r>
      <w:r>
        <w:rPr>
          <w:rFonts w:ascii="Times New Roman" w:hAnsi="Times New Roman"/>
          <w:color w:val="000000"/>
          <w:sz w:val="16"/>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Effie Toshav, Esq.</w:t>
      </w:r>
    </w:p>
    <w:p>
      <w:pPr>
        <w:pStyle w:val="TextBody"/>
        <w:bidi w:val="0"/>
        <w:jc w:val="center"/>
        <w:rPr>
          <w:rFonts w:ascii="Times New Roman" w:hAnsi="Times New Roman"/>
          <w:b/>
          <w:color w:val="000000"/>
          <w:sz w:val="20"/>
        </w:rPr>
      </w:pPr>
      <w:r>
        <w:rPr>
          <w:rFonts w:ascii="Times New Roman" w:hAnsi="Times New Roman"/>
          <w:b/>
          <w:color w:val="000000"/>
          <w:sz w:val="20"/>
        </w:rPr>
        <w:t>Ryan Mitteness, Esq.</w:t>
      </w:r>
    </w:p>
    <w:p>
      <w:pPr>
        <w:pStyle w:val="TextBody"/>
        <w:bidi w:val="0"/>
        <w:jc w:val="center"/>
        <w:rPr>
          <w:rFonts w:ascii="Times New Roman" w:hAnsi="Times New Roman"/>
          <w:b/>
          <w:color w:val="000000"/>
          <w:sz w:val="20"/>
        </w:rPr>
      </w:pPr>
      <w:r>
        <w:rPr>
          <w:rFonts w:ascii="Times New Roman" w:hAnsi="Times New Roman"/>
          <w:b/>
          <w:color w:val="000000"/>
          <w:sz w:val="20"/>
        </w:rPr>
        <w:t>Chelsea Anderson, Esq.</w:t>
      </w:r>
    </w:p>
    <w:p>
      <w:pPr>
        <w:pStyle w:val="TextBody"/>
        <w:bidi w:val="0"/>
        <w:jc w:val="center"/>
        <w:rPr>
          <w:rFonts w:ascii="Times New Roman" w:hAnsi="Times New Roman"/>
          <w:b/>
          <w:color w:val="000000"/>
          <w:sz w:val="20"/>
        </w:rPr>
      </w:pPr>
      <w:r>
        <w:rPr>
          <w:rFonts w:ascii="Times New Roman" w:hAnsi="Times New Roman"/>
          <w:b/>
          <w:color w:val="000000"/>
          <w:sz w:val="20"/>
        </w:rPr>
        <w:t>Fenwick &amp; West LLP</w:t>
      </w:r>
    </w:p>
    <w:p>
      <w:pPr>
        <w:pStyle w:val="TextBody"/>
        <w:bidi w:val="0"/>
        <w:jc w:val="center"/>
        <w:rPr>
          <w:rFonts w:ascii="Times New Roman" w:hAnsi="Times New Roman"/>
          <w:b/>
          <w:color w:val="000000"/>
          <w:sz w:val="20"/>
        </w:rPr>
      </w:pPr>
      <w:r>
        <w:rPr>
          <w:rFonts w:ascii="Times New Roman" w:hAnsi="Times New Roman"/>
          <w:b/>
          <w:color w:val="000000"/>
          <w:sz w:val="20"/>
        </w:rPr>
        <w:t>401 Union Street</w:t>
      </w:r>
    </w:p>
    <w:p>
      <w:pPr>
        <w:pStyle w:val="TextBody"/>
        <w:bidi w:val="0"/>
        <w:jc w:val="center"/>
        <w:rPr>
          <w:rFonts w:ascii="Times New Roman" w:hAnsi="Times New Roman"/>
          <w:b/>
          <w:color w:val="000000"/>
          <w:sz w:val="20"/>
        </w:rPr>
      </w:pPr>
      <w:r>
        <w:rPr>
          <w:rFonts w:ascii="Times New Roman" w:hAnsi="Times New Roman"/>
          <w:b/>
          <w:color w:val="000000"/>
          <w:sz w:val="20"/>
        </w:rPr>
        <w:t>Seattle, Washington 98101</w:t>
      </w:r>
    </w:p>
    <w:p>
      <w:pPr>
        <w:pStyle w:val="TextBody"/>
        <w:bidi w:val="0"/>
        <w:jc w:val="center"/>
        <w:rPr>
          <w:rFonts w:ascii="Times New Roman" w:hAnsi="Times New Roman"/>
          <w:sz w:val="20"/>
        </w:rPr>
      </w:pPr>
      <w:r>
        <w:rPr>
          <w:rFonts w:ascii="Times New Roman" w:hAnsi="Times New Roman"/>
          <w:b/>
          <w:color w:val="000000"/>
          <w:sz w:val="20"/>
        </w:rPr>
        <w:t>(206) 389-4510</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0"/>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EXPLANATORY NOTE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Registration Statement on Form S-8 registers shares of common stock, $0.00001 par value per share (the “Common Stock”), of Aura Biosciences, Inc. (the “Registrant”) issuable pursuant to the inducement awards, as described below. As a material inducement to three newly hired employees to accept employment with the Registrant, the Registrant granted the following equity awards to such individuals (the “Inducement Awards”) on the date detailed below: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 awards with respect to an aggregate of 343,009 shares of Common Stock granted to three newly-hired employees on September 1, 2026;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Stock options to purchase an aggregate of 676,991 shares of Common Stock granted to three newly-hired employees on September 1, 2026.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Inducement Award was approved by the Registrant’s Board of Directors in compliance with and in reliance on Nasdaq Listing Rule 5635(c)(4). The Inducement Awards were granted outside of the Registrant’s Amended and Restated 2021 Stock Option and Incentive Plan, and its predecessor plans. </w:t>
      </w:r>
    </w:p>
    <w:p>
      <w:pPr>
        <w:pStyle w:val="TextBody"/>
        <w:bidi w:val="0"/>
        <w:spacing w:before="480" w:after="283"/>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INFORMATION REQUIRED IN THE SECTION 10(a)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specified in Part I of Form S-8 is omitted from this filing in accordance with the provisions of Rule 428 under the Securities Act of 1933, as amended (the “Securities Act”) and the introductory note to Part I of the Form S-8 instructions. The documents containing the information specified in Part I will be delivered to persons to whom the Inducement Awards have been granted as required by Rule 428(b)(1) under the Securities Act.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3. Incorporation of Documents by Reference.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documents, which have been filed by the Registrant with the Securities and Exchange Commission (the “Commission”), are incorporated by reference in, and shall be deemed to be a part of, this Registration Statement: </w:t>
      </w:r>
    </w:p>
    <w:p>
      <w:pPr>
        <w:pStyle w:val="TextBody"/>
        <w:bidi w:val="0"/>
        <w:spacing w:before="120" w:after="283"/>
        <w:ind w:left="0" w:right="0" w:firstLine="490"/>
        <w:jc w:val="left"/>
        <w:rPr/>
      </w:pPr>
      <w:r>
        <w:rPr>
          <w:rFonts w:ascii="Times New Roman" w:hAnsi="Times New Roman"/>
          <w:color w:val="000000"/>
          <w:sz w:val="20"/>
        </w:rPr>
        <w:t xml:space="preserve">(a) The Registrant’s Annual Report on </w:t>
      </w:r>
      <w:hyperlink r:id="rId2">
        <w:r>
          <w:rPr>
            <w:rStyle w:val="InternetLink"/>
            <w:rFonts w:ascii="Times New Roman" w:hAnsi="Times New Roman"/>
            <w:color w:val="0000FF"/>
            <w:sz w:val="20"/>
            <w:u w:val="single"/>
          </w:rPr>
          <w:t>Form 10-K</w:t>
        </w:r>
      </w:hyperlink>
      <w:r>
        <w:rPr>
          <w:rFonts w:ascii="Times New Roman" w:hAnsi="Times New Roman"/>
          <w:color w:val="000000"/>
          <w:sz w:val="20"/>
        </w:rPr>
        <w:t xml:space="preserve"> for the fiscal year ended December 31, 2025, filed with the Commission on March 30, 2026; </w:t>
      </w:r>
    </w:p>
    <w:p>
      <w:pPr>
        <w:pStyle w:val="TextBody"/>
        <w:bidi w:val="0"/>
        <w:spacing w:before="240" w:after="283"/>
        <w:ind w:left="0" w:right="0" w:firstLine="490"/>
        <w:jc w:val="left"/>
        <w:rPr/>
      </w:pPr>
      <w:r>
        <w:rPr>
          <w:rFonts w:ascii="Times New Roman" w:hAnsi="Times New Roman"/>
          <w:color w:val="000000"/>
          <w:sz w:val="20"/>
        </w:rPr>
        <w:t xml:space="preserve">(b) The information specifically incorporated by reference into the Annual Report on Form 10-K for the year ended December 31, 2025 from the </w:t>
      </w:r>
      <w:hyperlink r:id="rId3">
        <w:r>
          <w:rPr>
            <w:rStyle w:val="InternetLink"/>
            <w:rFonts w:ascii="Times New Roman" w:hAnsi="Times New Roman"/>
            <w:color w:val="0000FF"/>
            <w:sz w:val="20"/>
            <w:u w:val="single"/>
          </w:rPr>
          <w:t>definitive proxy statement on Schedule 14a</w:t>
        </w:r>
      </w:hyperlink>
      <w:r>
        <w:rPr>
          <w:rFonts w:ascii="Times New Roman" w:hAnsi="Times New Roman"/>
          <w:color w:val="000000"/>
          <w:sz w:val="20"/>
        </w:rPr>
        <w:t xml:space="preserve"> (other than information furnished rather than filed) filed with the Commission on April 20,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 All other reports filed pursuant to Section 13(a) or 15(d) of the Exchange Act since the end of the fiscal year covered by the Registrant’s Annual Report on Form 10-K referred to in (a) above; </w:t>
      </w:r>
    </w:p>
    <w:p>
      <w:pPr>
        <w:pStyle w:val="TextBody"/>
        <w:bidi w:val="0"/>
        <w:spacing w:before="240" w:after="283"/>
        <w:ind w:left="0" w:right="0" w:firstLine="490"/>
        <w:jc w:val="left"/>
        <w:rPr/>
      </w:pPr>
      <w:r>
        <w:rPr>
          <w:rFonts w:ascii="Times New Roman" w:hAnsi="Times New Roman"/>
          <w:color w:val="000000"/>
          <w:sz w:val="20"/>
        </w:rPr>
        <w:t xml:space="preserve">(d) The description of the Registrant’s Common Stock contained in the Registrant’s Registration Statement on </w:t>
      </w:r>
      <w:hyperlink r:id="rId4">
        <w:r>
          <w:rPr>
            <w:rStyle w:val="InternetLink"/>
            <w:rFonts w:ascii="Times New Roman" w:hAnsi="Times New Roman"/>
            <w:color w:val="0000FF"/>
            <w:sz w:val="20"/>
            <w:u w:val="single"/>
          </w:rPr>
          <w:t>Form 8-A</w:t>
        </w:r>
      </w:hyperlink>
      <w:r>
        <w:rPr>
          <w:rFonts w:ascii="Times New Roman" w:hAnsi="Times New Roman"/>
          <w:color w:val="000000"/>
          <w:sz w:val="20"/>
        </w:rPr>
        <w:t xml:space="preserve"> filed with the Commission on October 26, 2021, including any other amendments or reports filed for the purpose of updating such description, including </w:t>
      </w:r>
      <w:hyperlink r:id="rId5">
        <w:r>
          <w:rPr>
            <w:rStyle w:val="InternetLink"/>
            <w:rFonts w:ascii="Times New Roman" w:hAnsi="Times New Roman"/>
            <w:color w:val="0000FF"/>
            <w:sz w:val="20"/>
            <w:u w:val="single"/>
          </w:rPr>
          <w:t>Exhibit 4.1</w:t>
        </w:r>
      </w:hyperlink>
      <w:r>
        <w:rPr>
          <w:rFonts w:ascii="Times New Roman" w:hAnsi="Times New Roman"/>
          <w:color w:val="000000"/>
          <w:sz w:val="20"/>
        </w:rPr>
        <w:t xml:space="preserve"> to the Registrant’s Registration Statement on </w:t>
      </w:r>
      <w:hyperlink r:id="rId6">
        <w:r>
          <w:rPr>
            <w:rStyle w:val="InternetLink"/>
          </w:rPr>
          <w:t>Form S-3</w:t>
        </w:r>
      </w:hyperlink>
      <w:r>
        <w:rPr>
          <w:rFonts w:ascii="Times New Roman" w:hAnsi="Times New Roman"/>
          <w:color w:val="0000FF"/>
          <w:sz w:val="20"/>
          <w:u w:val="single"/>
        </w:rPr>
        <w:t xml:space="preserve"> </w:t>
      </w:r>
      <w:r>
        <w:rPr>
          <w:rFonts w:ascii="Times New Roman" w:hAnsi="Times New Roman"/>
          <w:color w:val="000000"/>
          <w:sz w:val="20"/>
        </w:rPr>
        <w:t xml:space="preserve">filed on August 11, 2026; and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(e) All documents subsequently filed by the Registrant pursuant to Sections 13(a), 13(c), 14 and 15(d) of the Securities Exchange Act of 1934, as amended,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provided, however, that documents, reports and definitive proxy or information statements, or portions thereof, which are furnished and not filed in accordance with the rules of the Commission shall not be deemed incorporated by reference into this Registration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 </w:t>
      </w:r>
    </w:p>
    <w:p>
      <w:pPr>
        <w:pStyle w:val="TextBody"/>
        <w:bidi w:val="0"/>
        <w:spacing w:before="240" w:after="283"/>
        <w:jc w:val="left"/>
        <w:rPr>
          <w:rFonts w:ascii="Times New Roman" w:hAnsi="Times New Roman"/>
          <w:sz w:val="20"/>
        </w:rPr>
      </w:pPr>
      <w:r>
        <w:rPr>
          <w:rFonts w:ascii="Times New Roman" w:hAnsi="Times New Roman"/>
          <w:b/>
          <w:color w:val="000000"/>
          <w:sz w:val="20"/>
        </w:rPr>
        <w:t>Item  4. Description of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r>
        <w:rPr>
          <w:rFonts w:ascii="Times New Roman" w:hAnsi="Times New Roman"/>
          <w:b/>
          <w:color w:val="000000"/>
          <w:sz w:val="20"/>
        </w:rPr>
        <w:t>Item 5. Interests of Named Experts and Counsel.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Item 6. Indemnification of Directors and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145 of the Delaware General Corporation Law, or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certificate of incorporation and bylaws limit or eliminate the personal liability of the Registrant’s directors and officers to the fullest extent permitted by the DGCL, as it now exists or may in the future be amended. Consequently, a director or officer will not be personally liable to the Registrant or its stockholders for monetary damages or breach of fiduciary duty as a director or officer, except for liability for: </w:t>
      </w:r>
    </w:p>
    <w:tbl>
      <w:tblPr>
        <w:tblW w:w="7903" w:type="dxa"/>
        <w:jc w:val="left"/>
        <w:tblInd w:w="0" w:type="dxa"/>
        <w:tblLayout w:type="fixed"/>
        <w:tblCellMar>
          <w:top w:w="28" w:type="dxa"/>
          <w:left w:w="28" w:type="dxa"/>
          <w:bottom w:w="28" w:type="dxa"/>
          <w:right w:w="28" w:type="dxa"/>
        </w:tblCellMar>
      </w:tblPr>
      <w:tblGrid>
        <w:gridCol w:w="124"/>
        <w:gridCol w:w="109"/>
        <w:gridCol w:w="109"/>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breach of the director’s or officer’s duty of loyalty to the Registrant or its stockholders; </w:t>
            </w:r>
          </w:p>
        </w:tc>
      </w:tr>
    </w:tbl>
    <w:tbl>
      <w:tblPr>
        <w:tblW w:w="9283" w:type="dxa"/>
        <w:jc w:val="left"/>
        <w:tblInd w:w="0" w:type="dxa"/>
        <w:tblLayout w:type="fixed"/>
        <w:tblCellMar>
          <w:top w:w="28" w:type="dxa"/>
          <w:left w:w="28" w:type="dxa"/>
          <w:bottom w:w="28" w:type="dxa"/>
          <w:right w:w="28" w:type="dxa"/>
        </w:tblCellMar>
      </w:tblPr>
      <w:tblGrid>
        <w:gridCol w:w="124"/>
        <w:gridCol w:w="109"/>
        <w:gridCol w:w="109"/>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any act or omission not in good faith or that involves intentional misconduct or a knowing violation of law;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 a director, any unlawful payments related to dividends or unlawful stock purchases, redemptions or other distributions; </w:t>
            </w:r>
          </w:p>
        </w:tc>
      </w:tr>
    </w:tbl>
    <w:tbl>
      <w:tblPr>
        <w:tblW w:w="7753" w:type="dxa"/>
        <w:jc w:val="left"/>
        <w:tblInd w:w="0" w:type="dxa"/>
        <w:tblLayout w:type="fixed"/>
        <w:tblCellMar>
          <w:top w:w="28" w:type="dxa"/>
          <w:left w:w="28" w:type="dxa"/>
          <w:bottom w:w="28" w:type="dxa"/>
          <w:right w:w="28" w:type="dxa"/>
        </w:tblCellMar>
      </w:tblPr>
      <w:tblGrid>
        <w:gridCol w:w="124"/>
        <w:gridCol w:w="109"/>
        <w:gridCol w:w="109"/>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transaction from which the director or officer derived an improper personal benefit; or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for an officer, arising from any claim brought by or in right of the Company.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Registrant’s bylaws provide that: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Registrant will indemnify its directors, officers and, in the discretion of the Registrant’s board of directors, certain employees to the fullest extent permitted by the DGCL, as it now exists or may in the future be amended;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Registrant will advance reasonable expenses, including attorneys’ fees, to its directors and, in the discretion of the Registrant’s board of directors, to its officers and certain employees, in connection with legal proceedings relating to their service for or on behalf of the Registrant, subject to limited exceptions.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 has entered into indemnification agreements with each of its directors and executive officers. These agreements provide that the Registrant will indemnify each of its directors, its executive officers and, at times, their affiliates to the fullest extent permitted by Delaware law. The Registrant will advance expenses, including attorneys’ fees (but excluding judgments, fines and settlement amounts), to each indemnified director, executive officer or affiliate in connection with any proceeding in which indemnification is available and the Registrant will indemnify its directors and officers for any action or proceeding arising out of that person’s services as a director or officer brought on behalf of the Registrant or in furtherance of the Registrant’s rights. Additionally, certain of the Registrant’s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the Registrant has agreed in the indemnification agreements that the Registrant’s obligations to those same directors or officers are primary and any obligation of such affiliates or other third parties to advance expenses or to provide indemnification for the expenses or liabilities incurred by those directors are secondary.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 also maintains general liability insurance which covers certain liabilities of its directors and officers arising out of claims based on acts or omissions in their capacities as directors or officers, including liabilities under the Securities Act. </w:t>
      </w:r>
    </w:p>
    <w:p>
      <w:pPr>
        <w:pStyle w:val="TextBody"/>
        <w:bidi w:val="0"/>
        <w:spacing w:before="360" w:after="283"/>
        <w:jc w:val="left"/>
        <w:rPr>
          <w:rFonts w:ascii="Times New Roman" w:hAnsi="Times New Roman"/>
          <w:sz w:val="20"/>
        </w:rPr>
      </w:pPr>
      <w:r>
        <w:rPr>
          <w:rFonts w:ascii="Times New Roman" w:hAnsi="Times New Roman"/>
          <w:b/>
          <w:color w:val="000000"/>
          <w:sz w:val="20"/>
        </w:rPr>
        <w:t>Item 7. Exemption from Registration Claimed.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46"/>
        <w:gridCol w:w="9368"/>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93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93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Specimen Common Stock Certificate of the Registrant (Incorporated by reference to Exhibit 4.1 to the Registrant’s Registration Statement on Form S-1, as amended (File No. 333-260156), filed with the Securities and Exchange Commission on October 25, 2021).</w:t>
              </w:r>
            </w:hyperlink>
            <w:hyperlink r:id="rId8">
              <w:r>
                <w:rPr>
                  <w:rStyle w:val="InternetLink"/>
                  <w:rFonts w:ascii="Times New Roman" w:hAnsi="Times New Roman"/>
                  <w:color w:val="0000FF"/>
                  <w:sz w:val="20"/>
                </w:rPr>
                <w:t xml:space="preserve"> </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Tenth Amended and Restated Certificate of Incorporation of the Registrant, as currently in effect, as amended by the Certificate of Amendment, dated June 20, 2024 and the Certificate of Amendment, dated August 5, 2026 (Incorporated by reference to Exhibit 3.1 to the Registrant’s Quarterly Report on Form 10-Q (File No. 001-40971) filed with the Securities and Exchange Commission on August 11, 2026).</w:t>
              </w:r>
            </w:hyperlink>
            <w:hyperlink r:id="rId10">
              <w:r>
                <w:rPr>
                  <w:rStyle w:val="InternetLink"/>
                  <w:rFonts w:ascii="Times New Roman" w:hAnsi="Times New Roman"/>
                  <w:color w:val="0000FF"/>
                  <w:sz w:val="20"/>
                </w:rPr>
                <w:t xml:space="preserve"> </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Bylaws of the Registrant, as currently in effect (Incorporated by reference to Exhibit 3.2 to the Registrant’s Annual Report on Form 10-K (File No. 001-40971) filed with the Securities and Exchange Commission on March 23, 2022).</w:t>
              </w:r>
            </w:hyperlink>
            <w:hyperlink r:id="rId12">
              <w:r>
                <w:rPr>
                  <w:rStyle w:val="InternetLink"/>
                  <w:rFonts w:ascii="Times New Roman" w:hAnsi="Times New Roman"/>
                  <w:color w:val="0000FF"/>
                  <w:sz w:val="20"/>
                </w:rPr>
                <w:t xml:space="preserve"> </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EE"/>
                  <w:sz w:val="20"/>
                  <w:u w:val="single"/>
                </w:rPr>
                <w:t>Fifth Amended and Restated Investors’ Rights Agreement (Incorporated by reference to Exhibit 4.2 to the Registration Statement on Form S-1 (File No. 333-260156) filed with the Securities and Exchange Commission on October 8, 2021).</w:t>
              </w:r>
            </w:hyperlink>
            <w:hyperlink r:id="rId14">
              <w:r>
                <w:rPr>
                  <w:rStyle w:val="InternetLink"/>
                  <w:rFonts w:ascii="Times New Roman" w:hAnsi="Times New Roman"/>
                  <w:color w:val="0000EE"/>
                  <w:sz w:val="20"/>
                </w:rPr>
                <w:t xml:space="preserve"> </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EE"/>
                  <w:sz w:val="20"/>
                  <w:u w:val="single"/>
                </w:rPr>
                <w:t>Form of Pre-Funded Warrant to Purchase Common Stock (Incorporated by reference to Exhibit 4.1 to the Registrant’s Current Report on Form 8-K (File No. 001-40971) filed with the Securities and Exchange Commission on May 16, 2025).</w:t>
              </w:r>
            </w:hyperlink>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Common Stock Warrant to Purchase Common Stock (Incorporated by reference to Exhibit 4.2 to the Registrant’s Current Report on Form 8-K (File No. 001-40971) filed with the Securities and Exchange Commission on May 16, 2025).</w:t>
              </w:r>
            </w:hyperlink>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Pre-Funded Warrant to Purchase Common Stock (Incorporated by reference to Exhibit 4.1 to the Registrant’s Current Report on Form 8-K (File No. 001-40971) filed with the Securities and Exchange Commission on May 5, 2026).</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aura-ex5_1.htm">
              <w:r>
                <w:rPr>
                  <w:rStyle w:val="InternetLink"/>
                  <w:rFonts w:ascii="Times New Roman" w:hAnsi="Times New Roman"/>
                  <w:color w:val="0000FF"/>
                  <w:sz w:val="20"/>
                  <w:u w:val="single"/>
                </w:rPr>
                <w:t>Opinion of Fenwick &amp; West LLP.</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aura-ex23_1.htm">
              <w:r>
                <w:rPr>
                  <w:rStyle w:val="InternetLink"/>
                  <w:rFonts w:ascii="Times New Roman" w:hAnsi="Times New Roman"/>
                  <w:color w:val="0000FF"/>
                  <w:sz w:val="20"/>
                  <w:u w:val="single"/>
                </w:rPr>
                <w:t>Consent of Ernst &amp; Young, Independent Registered Public Accounting Firm.</w:t>
              </w:r>
            </w:hyperlink>
            <w:hyperlink w:anchor="aura-ex23_1.htm">
              <w:r>
                <w:rPr>
                  <w:rStyle w:val="InternetLink"/>
                  <w:rFonts w:ascii="Times New Roman" w:hAnsi="Times New Roman"/>
                  <w:color w:val="0000FF"/>
                  <w:sz w:val="20"/>
                </w:rPr>
                <w:t xml:space="preserve"> </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aura-ex5_1.htm">
              <w:r>
                <w:rPr>
                  <w:rStyle w:val="InternetLink"/>
                  <w:rFonts w:ascii="Times New Roman" w:hAnsi="Times New Roman"/>
                  <w:color w:val="0000FF"/>
                  <w:sz w:val="20"/>
                  <w:u w:val="single"/>
                </w:rPr>
                <w:t>Consent of Fenwick &amp; West LLP (included in Exhibit 5.1).</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sig">
              <w:r>
                <w:rPr>
                  <w:rStyle w:val="InternetLink"/>
                  <w:rFonts w:ascii="Times New Roman" w:hAnsi="Times New Roman"/>
                  <w:color w:val="0000EE"/>
                  <w:sz w:val="20"/>
                  <w:u w:val="single"/>
                </w:rPr>
                <w:t>Power of Attorney (included on signature page).</w:t>
              </w:r>
            </w:hyperlink>
            <w:hyperlink w:anchor="sig">
              <w:r>
                <w:rPr>
                  <w:rStyle w:val="InternetLink"/>
                  <w:rFonts w:ascii="Times New Roman" w:hAnsi="Times New Roman"/>
                  <w:color w:val="0000EE"/>
                  <w:sz w:val="20"/>
                </w:rPr>
                <w:t xml:space="preserve"> </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Restricted Stock Unit Award Agreement (Inducement Award) (Incorporated by reference to Exhibit 99.1 to the Registrant’s Registration Statement on Form S-8 (File No. 296029) filed with the Securities and Exchange Commission on May 19, 2026).</w:t>
              </w:r>
            </w:hyperlink>
            <w:hyperlink r:id="rId19">
              <w:r>
                <w:rPr>
                  <w:rStyle w:val="InternetLink"/>
                  <w:rFonts w:ascii="Times New Roman" w:hAnsi="Times New Roman"/>
                  <w:color w:val="0000EE"/>
                  <w:sz w:val="20"/>
                </w:rPr>
                <w:t xml:space="preserve"> </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Non-Qualified Stock Option Agreement (Inducement Award) (Incorporated by reference to Exhibit 99.2 to the Registrant’s Registration Statement on Form S-8 (File No. 296029) filed with the Securities and Exchange Commission on May 19, 2026).</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aura_exfilingfees.htm">
              <w:r>
                <w:rPr>
                  <w:rStyle w:val="InternetLink"/>
                  <w:rFonts w:ascii="Times New Roman" w:hAnsi="Times New Roman"/>
                  <w:color w:val="0000FF"/>
                  <w:sz w:val="20"/>
                  <w:u w:val="single"/>
                </w:rPr>
                <w:t>Filing Fee Table.</w:t>
              </w:r>
            </w:hyperlink>
            <w:hyperlink w:anchor="aura_exfilingfees.htm">
              <w:r>
                <w:rPr>
                  <w:rStyle w:val="InternetLink"/>
                  <w:rFonts w:ascii="Times New Roman" w:hAnsi="Times New Roman"/>
                  <w:color w:val="0000FF"/>
                  <w:sz w:val="20"/>
                </w:rPr>
                <w:t xml:space="preserve"> </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Denotes management contract or compensatory plan or arrangement.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Item 9. Undertakings.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The undersigned Registrant hereby undertakes: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(1) To file, during any period in which offers or sales are being made, a post-effective amendment to this Registration Statement: </w:t>
      </w:r>
    </w:p>
    <w:p>
      <w:pPr>
        <w:pStyle w:val="TextBody"/>
        <w:bidi w:val="0"/>
        <w:spacing w:before="120" w:after="283"/>
        <w:ind w:left="720" w:right="0" w:firstLine="720"/>
        <w:jc w:val="left"/>
        <w:rPr>
          <w:rFonts w:ascii="Times New Roman" w:hAnsi="Times New Roman"/>
          <w:color w:val="000000"/>
          <w:sz w:val="20"/>
        </w:rPr>
      </w:pPr>
      <w:r>
        <w:rPr>
          <w:rFonts w:ascii="Times New Roman" w:hAnsi="Times New Roman"/>
          <w:color w:val="000000"/>
          <w:sz w:val="20"/>
        </w:rPr>
        <w:t xml:space="preserve">(i) to include any prospectus required by Section 10(a)(3) of the Securities Act; </w:t>
      </w:r>
    </w:p>
    <w:p>
      <w:pPr>
        <w:pStyle w:val="TextBody"/>
        <w:bidi w:val="0"/>
        <w:spacing w:before="120" w:after="283"/>
        <w:ind w:left="720" w:right="0" w:firstLine="720"/>
        <w:jc w:val="left"/>
        <w:rPr>
          <w:rFonts w:ascii="Times New Roman" w:hAnsi="Times New Roman"/>
          <w:color w:val="000000"/>
          <w:sz w:val="20"/>
        </w:rPr>
      </w:pPr>
      <w:r>
        <w:rPr>
          <w:rFonts w:ascii="Times New Roman" w:hAnsi="Times New Roman"/>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120" w:after="283"/>
        <w:ind w:left="720" w:right="0" w:firstLine="720"/>
        <w:jc w:val="left"/>
        <w:rPr>
          <w:rFonts w:ascii="Times New Roman" w:hAnsi="Times New Roman"/>
          <w:color w:val="000000"/>
          <w:sz w:val="20"/>
        </w:rPr>
      </w:pPr>
      <w:r>
        <w:rPr>
          <w:rFonts w:ascii="Times New Roman" w:hAnsi="Times New Roman"/>
          <w:color w:val="000000"/>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283"/>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xml:space="preserve"> that 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15(d) of the Exchange Act that are incorporated by reference in the Registration Statement. </w:t>
      </w:r>
    </w:p>
    <w:p>
      <w:pPr>
        <w:pStyle w:val="TextBody"/>
        <w:bidi w:val="0"/>
        <w:spacing w:before="120" w:after="283"/>
        <w:ind w:left="0" w:right="0" w:firstLine="720"/>
        <w:jc w:val="left"/>
        <w:rPr>
          <w:rFonts w:ascii="Times New Roman" w:hAnsi="Times New Roman"/>
          <w:sz w:val="20"/>
        </w:rPr>
      </w:pPr>
      <w:r>
        <w:rPr>
          <w:rFonts w:ascii="Times New Roman" w:hAnsi="Times New Roman"/>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 xml:space="preserve">(3) To remove from registration by means of a post-effective amendment any of the securities being registered which remain unsold at the termination of the offering.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this 1st day of September, 2026. </w:t>
      </w:r>
    </w:p>
    <w:tbl>
      <w:tblPr>
        <w:tblW w:w="4273" w:type="dxa"/>
        <w:jc w:val="left"/>
        <w:tblInd w:w="0" w:type="dxa"/>
        <w:tblLayout w:type="fixed"/>
        <w:tblCellMar>
          <w:top w:w="28" w:type="dxa"/>
          <w:left w:w="28" w:type="dxa"/>
          <w:bottom w:w="28" w:type="dxa"/>
          <w:right w:w="28" w:type="dxa"/>
        </w:tblCellMar>
      </w:tblPr>
      <w:tblGrid>
        <w:gridCol w:w="421"/>
        <w:gridCol w:w="146"/>
        <w:gridCol w:w="370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7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AURA BIOSCIENCES,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Natalie Holles</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Natalie Holles</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Title: Chief Executive Officer and President</w:t>
            </w:r>
          </w:p>
        </w:tc>
      </w:tr>
    </w:tbl>
    <w:p>
      <w:pPr>
        <w:pStyle w:val="TextBody"/>
        <w:bidi w:val="0"/>
        <w:spacing w:before="240" w:after="283"/>
        <w:jc w:val="center"/>
        <w:rPr>
          <w:rFonts w:ascii="Times New Roman" w:hAnsi="Times New Roman"/>
          <w:sz w:val="20"/>
        </w:rPr>
      </w:pPr>
      <w:bookmarkStart w:id="2" w:name="sig"/>
      <w:bookmarkEnd w:id="2"/>
      <w:r>
        <w:rPr>
          <w:rFonts w:ascii="Times New Roman" w:hAnsi="Times New Roman"/>
          <w:b/>
          <w:color w:val="000000"/>
          <w:sz w:val="20"/>
        </w:rPr>
        <w:t>POWER OF ATTORNEY AND 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KNOW ALL BY THESE PRESENT, that each individual whose signature appears below hereby constitutes and appoints each of Natalie Holles and Amy Elazzouzi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this Registration Statement has been signed by the following person in the capacities and on the date indicated. </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2116"/>
        <w:gridCol w:w="146"/>
        <w:gridCol w:w="3961"/>
        <w:gridCol w:w="146"/>
        <w:gridCol w:w="166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Date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Natalie Holles</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President and Director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Natalie Holles</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666" w:type="dxa"/>
            <w:vMerge w:val="continue"/>
            <w:tcBorders/>
            <w:tcMar>
              <w:top w:w="0" w:type="dxa"/>
              <w:left w:w="0" w:type="dxa"/>
              <w:bottom w:w="0" w:type="dxa"/>
              <w:right w:w="0" w:type="dxa"/>
            </w:tcMar>
            <w:vAlign w:val="center"/>
          </w:tcPr>
          <w:p>
            <w:pPr>
              <w:pStyle w:val="Normal"/>
              <w:bidi w:val="0"/>
              <w:jc w:val="left"/>
              <w:rPr/>
            </w:pPr>
            <w:r>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Anthony Gibney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Gibney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and Business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2026</w:t>
            </w:r>
          </w:p>
        </w:tc>
      </w:tr>
      <w:tr>
        <w:trPr/>
        <w:tc>
          <w:tcPr>
            <w:tcW w:w="211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Amy Elazzouzi</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Amy Elazzouzi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Senior Vice President, Finance</w:t>
            </w:r>
          </w:p>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jc w:val="left"/>
              <w:rPr>
                <w:rFonts w:ascii="Times New Roman" w:hAnsi="Times New Roman"/>
                <w:color w:val="000000"/>
                <w:sz w:val="20"/>
              </w:rPr>
            </w:pPr>
            <w:r>
              <w:rPr>
                <w:rFonts w:ascii="Times New Roman" w:hAnsi="Times New Roman"/>
                <w:color w:val="000000"/>
                <w:sz w:val="20"/>
              </w:rPr>
              <w:t>/s/ Teresa Bitetti</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Teresa Bitetti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David Johnson</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Johnson</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666" w:type="dxa"/>
            <w:vMerge w:val="continue"/>
            <w:tcBorders/>
            <w:tcMar>
              <w:top w:w="0" w:type="dxa"/>
              <w:left w:w="0" w:type="dxa"/>
              <w:bottom w:w="0" w:type="dxa"/>
              <w:right w:w="0" w:type="dxa"/>
            </w:tcMar>
            <w:vAlign w:val="center"/>
          </w:tcPr>
          <w:p>
            <w:pPr>
              <w:pStyle w:val="Normal"/>
              <w:bidi w:val="0"/>
              <w:jc w:val="left"/>
              <w:rPr/>
            </w:pPr>
            <w:r>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Giovanni Mariggi</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Giovanni Mariggi, Ph.D.</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666" w:type="dxa"/>
            <w:vMerge w:val="continue"/>
            <w:tcBorders/>
            <w:tcMar>
              <w:top w:w="0" w:type="dxa"/>
              <w:left w:w="0" w:type="dxa"/>
              <w:bottom w:w="0" w:type="dxa"/>
              <w:right w:w="0" w:type="dxa"/>
            </w:tcMar>
            <w:vAlign w:val="center"/>
          </w:tcPr>
          <w:p>
            <w:pPr>
              <w:pStyle w:val="Normal"/>
              <w:bidi w:val="0"/>
              <w:jc w:val="left"/>
              <w:rPr/>
            </w:pPr>
            <w:r>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Antony Mattessich</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Antony Mattessich</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666" w:type="dxa"/>
            <w:vMerge w:val="continue"/>
            <w:tcBorders/>
            <w:tcMar>
              <w:top w:w="0" w:type="dxa"/>
              <w:left w:w="0" w:type="dxa"/>
              <w:bottom w:w="0" w:type="dxa"/>
              <w:right w:w="0" w:type="dxa"/>
            </w:tcMar>
            <w:vAlign w:val="center"/>
          </w:tcPr>
          <w:p>
            <w:pPr>
              <w:pStyle w:val="Normal"/>
              <w:bidi w:val="0"/>
              <w:jc w:val="left"/>
              <w:rPr/>
            </w:pPr>
            <w:r>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245" w:type="dxa"/>
        <w:jc w:val="left"/>
        <w:tblInd w:w="0" w:type="dxa"/>
        <w:tblLayout w:type="fixed"/>
        <w:tblCellMar>
          <w:top w:w="28" w:type="dxa"/>
          <w:left w:w="28" w:type="dxa"/>
          <w:bottom w:w="28" w:type="dxa"/>
          <w:right w:w="28" w:type="dxa"/>
        </w:tblCellMar>
      </w:tblPr>
      <w:tblGrid>
        <w:gridCol w:w="2521"/>
        <w:gridCol w:w="146"/>
        <w:gridCol w:w="766"/>
        <w:gridCol w:w="146"/>
        <w:gridCol w:w="166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Sapna Srivastava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2026</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Sapna Srivastava,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vMerge w:val="continue"/>
            <w:tcBorders/>
            <w:tcMar>
              <w:top w:w="0" w:type="dxa"/>
              <w:left w:w="0" w:type="dxa"/>
              <w:bottom w:w="0" w:type="dxa"/>
              <w:right w:w="0" w:type="dxa"/>
            </w:tcMar>
            <w:vAlign w:val="center"/>
          </w:tcPr>
          <w:p>
            <w:pPr>
              <w:pStyle w:val="Normal"/>
              <w:bidi w:val="0"/>
              <w:jc w:val="left"/>
              <w:rPr/>
            </w:pPr>
            <w:r>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Jeremy Bender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2026</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 w:name="aura-ex5_1.htm"/>
      <w:bookmarkStart w:id="4" w:name="ksauraex5_1"/>
      <w:bookmarkStart w:id="5" w:name="aura-ex5_1.htm"/>
      <w:bookmarkStart w:id="6" w:name="ksauraex5_1"/>
      <w:bookmarkEnd w:id="5"/>
      <w:bookmarkEnd w:id="6"/>
      <w:r>
        <w:br w:type="page"/>
      </w:r>
    </w:p>
    <w:tbl>
      <w:tblPr>
        <w:tblW w:w="9794" w:type="dxa"/>
        <w:jc w:val="left"/>
        <w:tblInd w:w="0" w:type="dxa"/>
        <w:tblLayout w:type="fixed"/>
        <w:tblCellMar>
          <w:top w:w="28" w:type="dxa"/>
          <w:left w:w="28" w:type="dxa"/>
          <w:bottom w:w="28" w:type="dxa"/>
          <w:right w:w="28" w:type="dxa"/>
        </w:tblCellMar>
      </w:tblPr>
      <w:tblGrid>
        <w:gridCol w:w="1787"/>
        <w:gridCol w:w="8007"/>
      </w:tblGrid>
      <w:tr>
        <w:trPr/>
        <w:tc>
          <w:tcPr>
            <w:tcW w:w="1787" w:type="dxa"/>
            <w:tcBorders/>
            <w:vAlign w:val="center"/>
          </w:tcPr>
          <w:p>
            <w:pPr>
              <w:pStyle w:val="TableContents"/>
              <w:bidi w:val="0"/>
              <w:spacing w:before="0" w:after="283"/>
              <w:jc w:val="left"/>
              <w:rPr>
                <w:sz w:val="4"/>
                <w:szCs w:val="4"/>
              </w:rPr>
            </w:pPr>
            <w:r>
              <w:rPr>
                <w:sz w:val="4"/>
                <w:szCs w:val="4"/>
              </w:rPr>
            </w:r>
          </w:p>
        </w:tc>
        <w:tc>
          <w:tcPr>
            <w:tcW w:w="8007"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9794" w:type="dxa"/>
            <w:gridSpan w:val="2"/>
            <w:tcBorders/>
            <w:tcMar>
              <w:top w:w="0" w:type="dxa"/>
              <w:left w:w="0" w:type="dxa"/>
              <w:bottom w:w="0" w:type="dxa"/>
              <w:right w:w="0" w:type="dxa"/>
            </w:tcMar>
            <w:vAlign w:val="center"/>
          </w:tcPr>
          <w:p>
            <w:pPr>
              <w:pStyle w:val="TableContents"/>
              <w:bidi w:val="0"/>
              <w:ind w:left="288" w:right="0" w:firstLine="288"/>
              <w:jc w:val="left"/>
              <w:rPr/>
            </w:pPr>
            <w:r>
              <w:rPr/>
              <w:t> </w:t>
            </w:r>
          </w:p>
          <w:p>
            <w:pPr>
              <w:pStyle w:val="TableContents"/>
              <w:bidi w:val="0"/>
              <w:spacing w:before="0" w:after="283"/>
              <w:ind w:left="0" w:right="0" w:firstLine="288"/>
              <w:jc w:val="center"/>
              <w:rPr/>
            </w:pPr>
            <w:r>
              <w:rPr/>
              <w:drawing>
                <wp:inline distT="0" distB="0" distL="0" distR="0">
                  <wp:extent cx="59436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1"/>
                          <a:stretch>
                            <a:fillRect/>
                          </a:stretch>
                        </pic:blipFill>
                        <pic:spPr bwMode="auto">
                          <a:xfrm>
                            <a:off x="0" y="0"/>
                            <a:ext cx="5943600" cy="485775"/>
                          </a:xfrm>
                          <a:prstGeom prst="rect">
                            <a:avLst/>
                          </a:prstGeom>
                        </pic:spPr>
                      </pic:pic>
                    </a:graphicData>
                  </a:graphic>
                </wp:inline>
              </w:drawing>
            </w:r>
          </w:p>
        </w:tc>
      </w:tr>
      <w:tr>
        <w:trPr/>
        <w:tc>
          <w:tcPr>
            <w:tcW w:w="1787" w:type="dxa"/>
            <w:tcBorders/>
            <w:tcMar>
              <w:top w:w="0" w:type="dxa"/>
              <w:left w:w="0" w:type="dxa"/>
              <w:bottom w:w="0" w:type="dxa"/>
              <w:right w:w="0" w:type="dxa"/>
            </w:tcMar>
            <w:vAlign w:val="center"/>
          </w:tcPr>
          <w:p>
            <w:pPr>
              <w:pStyle w:val="TableContents"/>
              <w:bidi w:val="0"/>
              <w:spacing w:before="0" w:after="283"/>
              <w:jc w:val="left"/>
              <w:rPr/>
            </w:pPr>
            <w:r>
              <w:rPr/>
              <w:t> </w:t>
            </w:r>
          </w:p>
        </w:tc>
        <w:tc>
          <w:tcPr>
            <w:tcW w:w="80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595959"/>
                <w:sz w:val="18"/>
              </w:rPr>
            </w:pPr>
            <w:r>
              <w:rPr>
                <w:rFonts w:ascii="Times New Roman" w:hAnsi="Times New Roman"/>
                <w:b/>
                <w:color w:val="595959"/>
                <w:sz w:val="18"/>
              </w:rPr>
              <w:t>Exhibit 5.1</w:t>
            </w:r>
          </w:p>
        </w:tc>
      </w:tr>
    </w:tbl>
    <w:p>
      <w:pPr>
        <w:pStyle w:val="TextBody"/>
        <w:bidi w:val="0"/>
        <w:jc w:val="left"/>
        <w:rPr/>
      </w:pPr>
      <w:r>
        <w:rPr/>
        <w:t> </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 xml:space="preserve">September 1, 2026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Aura Biosciences, Inc.</w:t>
        <w:br/>
        <w:t>80 Guest Street, Boston, MA 02135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 Registration Statement on Form S-8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As counsel to Aura Biosciences, Inc., a Delaware corporation (the “</w:t>
      </w:r>
      <w:r>
        <w:rPr>
          <w:rFonts w:ascii="Times New Roman" w:hAnsi="Times New Roman"/>
          <w:b/>
          <w:i/>
          <w:color w:val="000000"/>
          <w:sz w:val="24"/>
        </w:rPr>
        <w:t>Company</w:t>
      </w:r>
      <w:r>
        <w:rPr>
          <w:rFonts w:ascii="Times New Roman" w:hAnsi="Times New Roman"/>
          <w:color w:val="000000"/>
          <w:sz w:val="24"/>
        </w:rPr>
        <w:t>”), we have examined the Registration Statement on Form S-8 (the “</w:t>
      </w:r>
      <w:r>
        <w:rPr>
          <w:rFonts w:ascii="Times New Roman" w:hAnsi="Times New Roman"/>
          <w:b/>
          <w:i/>
          <w:color w:val="000000"/>
          <w:sz w:val="24"/>
        </w:rPr>
        <w:t>Registration Statement</w:t>
      </w:r>
      <w:r>
        <w:rPr>
          <w:rFonts w:ascii="Times New Roman" w:hAnsi="Times New Roman"/>
          <w:color w:val="000000"/>
          <w:sz w:val="24"/>
        </w:rPr>
        <w:t>”) to be filed by the Company with the Securities and Exchange Commission (the “</w:t>
      </w:r>
      <w:r>
        <w:rPr>
          <w:rFonts w:ascii="Times New Roman" w:hAnsi="Times New Roman"/>
          <w:b/>
          <w:i/>
          <w:color w:val="000000"/>
          <w:sz w:val="24"/>
        </w:rPr>
        <w:t>Commission</w:t>
      </w:r>
      <w:r>
        <w:rPr>
          <w:rFonts w:ascii="Times New Roman" w:hAnsi="Times New Roman"/>
          <w:color w:val="000000"/>
          <w:sz w:val="24"/>
        </w:rPr>
        <w:t>”) on or about September 1, 2026 in connection with the registration under the Securities Act of 1933, as amended (the “</w:t>
      </w:r>
      <w:r>
        <w:rPr>
          <w:rFonts w:ascii="Times New Roman" w:hAnsi="Times New Roman"/>
          <w:b/>
          <w:i/>
          <w:color w:val="000000"/>
          <w:sz w:val="24"/>
        </w:rPr>
        <w:t>Securities Act</w:t>
      </w:r>
      <w:r>
        <w:rPr>
          <w:rFonts w:ascii="Times New Roman" w:hAnsi="Times New Roman"/>
          <w:color w:val="000000"/>
          <w:sz w:val="24"/>
        </w:rPr>
        <w:t>”), of an aggregate of 1,020,000 shares (the “</w:t>
      </w:r>
      <w:r>
        <w:rPr>
          <w:rFonts w:ascii="Times New Roman" w:hAnsi="Times New Roman"/>
          <w:b/>
          <w:i/>
          <w:color w:val="000000"/>
          <w:sz w:val="24"/>
        </w:rPr>
        <w:t>Shares</w:t>
      </w:r>
      <w:r>
        <w:rPr>
          <w:rFonts w:ascii="Times New Roman" w:hAnsi="Times New Roman"/>
          <w:color w:val="000000"/>
          <w:sz w:val="24"/>
        </w:rPr>
        <w:t>”) of the Company’s Common Stock, $0.00001 par value per share (the “Common Stock”), that consists of shares issuable pursuant to the Restricted Stock Unit Award Agreements (Inducement Award) and the Non-Qualified Stock Option Agreements (Inducement Award) (collectively, the “</w:t>
      </w:r>
      <w:r>
        <w:rPr>
          <w:rFonts w:ascii="Times New Roman" w:hAnsi="Times New Roman"/>
          <w:b/>
          <w:i/>
          <w:color w:val="000000"/>
          <w:sz w:val="24"/>
        </w:rPr>
        <w:t>Award Agreements</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pStyle w:val="TextBody"/>
        <w:bidi w:val="0"/>
        <w:spacing w:before="0" w:after="240"/>
        <w:ind w:left="0" w:right="0" w:firstLine="720"/>
        <w:jc w:val="both"/>
        <w:rPr>
          <w:rFonts w:ascii="Times New Roman" w:hAnsi="Times New Roman"/>
          <w:sz w:val="24"/>
        </w:rPr>
      </w:pPr>
      <w:r>
        <w:rPr>
          <w:rFonts w:ascii="Times New Roman" w:hAnsi="Times New Roman"/>
          <w:color w:val="000000"/>
          <w:sz w:val="24"/>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hAnsi="Times New Roman"/>
          <w:b/>
          <w:i/>
          <w:color w:val="000000"/>
          <w:sz w:val="24"/>
        </w:rPr>
        <w:t>EDGAR</w:t>
      </w:r>
      <w:r>
        <w:rPr>
          <w:rFonts w:ascii="Times New Roman" w:hAnsi="Times New Roman"/>
          <w:color w:val="000000"/>
          <w:sz w:val="24"/>
        </w:rPr>
        <w:t>”), except for required EDGAR formatting changes, to physical copies submitted for our examination.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Aura Biosciences</w:t>
      </w:r>
    </w:p>
    <w:p>
      <w:pPr>
        <w:pStyle w:val="TextBody"/>
        <w:bidi w:val="0"/>
        <w:jc w:val="left"/>
        <w:rPr>
          <w:rFonts w:ascii="Times New Roman" w:hAnsi="Times New Roman"/>
          <w:color w:val="000000"/>
          <w:sz w:val="24"/>
        </w:rPr>
      </w:pPr>
      <w:r>
        <w:rPr>
          <w:rFonts w:ascii="Times New Roman" w:hAnsi="Times New Roman"/>
          <w:color w:val="000000"/>
          <w:sz w:val="24"/>
        </w:rPr>
        <w:t>September 1, 2026</w:t>
      </w:r>
    </w:p>
    <w:p>
      <w:pPr>
        <w:pStyle w:val="TextBody"/>
        <w:bidi w:val="0"/>
        <w:jc w:val="left"/>
        <w:rPr>
          <w:rFonts w:ascii="Times New Roman" w:hAnsi="Times New Roman"/>
          <w:color w:val="000000"/>
          <w:sz w:val="24"/>
        </w:rPr>
      </w:pPr>
      <w:r>
        <w:rPr>
          <w:rFonts w:ascii="Times New Roman" w:hAnsi="Times New Roman"/>
          <w:color w:val="000000"/>
          <w:sz w:val="24"/>
        </w:rPr>
        <w:t>Page 2</w:t>
      </w:r>
    </w:p>
    <w:p>
      <w:pPr>
        <w:pStyle w:val="TextBody"/>
        <w:bidi w:val="0"/>
        <w:jc w:val="left"/>
        <w:rPr/>
      </w:pPr>
      <w:r>
        <w:rPr/>
        <w:t> </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The opinions in this letter are limited to the existing General Corporation Law of the State of Delaware now in effect. We express no opinion with respect to any other laws.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Based upon, and subject to, the foregoing, it is our opinion that the Shares, when issued and sold by the Company in accordance with the terms (including, without limitation, payment and authorization provisions) of the applicable Award Agreements,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This opinion is intended solely for your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pStyle w:val="TextBody"/>
        <w:bidi w:val="0"/>
        <w:spacing w:before="0" w:after="720"/>
        <w:ind w:left="4320" w:right="0" w:hanging="0"/>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0" w:after="720"/>
        <w:ind w:left="4320" w:right="0" w:hanging="0"/>
        <w:jc w:val="left"/>
        <w:rPr>
          <w:rFonts w:ascii="Times New Roman" w:hAnsi="Times New Roman"/>
          <w:color w:val="000000"/>
          <w:sz w:val="24"/>
        </w:rPr>
      </w:pPr>
      <w:r>
        <w:rPr>
          <w:rFonts w:ascii="Times New Roman" w:hAnsi="Times New Roman"/>
          <w:color w:val="000000"/>
          <w:sz w:val="24"/>
        </w:rPr>
        <w:t>/s/ Fenwick &amp; West LLP</w:t>
      </w:r>
    </w:p>
    <w:p>
      <w:pPr>
        <w:pStyle w:val="TextBody"/>
        <w:bidi w:val="0"/>
        <w:spacing w:before="0" w:after="240"/>
        <w:ind w:left="4320" w:right="0" w:hanging="0"/>
        <w:jc w:val="left"/>
        <w:rPr>
          <w:rFonts w:ascii="Times New Roman" w:hAnsi="Times New Roman"/>
          <w:color w:val="000000"/>
          <w:sz w:val="24"/>
        </w:rPr>
      </w:pPr>
      <w:r>
        <w:rPr>
          <w:rFonts w:ascii="Times New Roman" w:hAnsi="Times New Roman"/>
          <w:color w:val="000000"/>
          <w:sz w:val="24"/>
        </w:rPr>
        <w:t>FENWICK &amp; WEST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7" w:name="aura-ex23_1.htm"/>
      <w:bookmarkStart w:id="8" w:name="ksauraex23_1"/>
      <w:bookmarkEnd w:id="7"/>
      <w:bookmarkEnd w:id="8"/>
      <w:r>
        <w:rPr>
          <w:rFonts w:ascii="Times New Roman" w:hAnsi="Times New Roman"/>
          <w:b/>
          <w:color w:val="000000"/>
          <w:sz w:val="24"/>
        </w:rPr>
        <w:t>Exhibit 23.1</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consent to the incorporation by reference in the Registration Statement (Form S-8) pertaining to the Restricted Stock Unit Award Agreements and Non-Qualified Stock Option Agreements (Inducement Awards) of Aura Biosciences, Inc. of our report dated March 30, 2026, with respect to the consolidated financial statements of Aura Biosciences, Inc. included in its Annual Report (Form 10-K) for the year ended December 31, 2025 filed with the Securities and Exchange Commission.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Ernst &amp; Young LLP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Boston, Massachusetts</w:t>
      </w:r>
    </w:p>
    <w:p>
      <w:pPr>
        <w:pStyle w:val="TextBody"/>
        <w:bidi w:val="0"/>
        <w:jc w:val="left"/>
        <w:rPr>
          <w:rFonts w:ascii="Times New Roman" w:hAnsi="Times New Roman"/>
          <w:color w:val="000000"/>
          <w:sz w:val="24"/>
        </w:rPr>
      </w:pPr>
      <w:r>
        <w:rPr>
          <w:rFonts w:ascii="Times New Roman" w:hAnsi="Times New Roman"/>
          <w:color w:val="000000"/>
          <w:sz w:val="24"/>
        </w:rPr>
        <w:t>September 1,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9" w:name="aura_exfilingfees.htm"/>
      <w:bookmarkStart w:id="10" w:name="ksaura_exfilingfees"/>
      <w:bookmarkEnd w:id="9"/>
      <w:bookmarkEnd w:id="1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107</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CALCULATION OF REGISTRATION FEE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Form S-8</w:t>
      </w:r>
    </w:p>
    <w:p>
      <w:pPr>
        <w:pStyle w:val="TextBody"/>
        <w:bidi w:val="0"/>
        <w:jc w:val="center"/>
        <w:rPr>
          <w:rFonts w:ascii="Times New Roman" w:hAnsi="Times New Roman"/>
          <w:color w:val="000000"/>
          <w:sz w:val="20"/>
        </w:rPr>
      </w:pPr>
      <w:r>
        <w:rPr>
          <w:rFonts w:ascii="Times New Roman" w:hAnsi="Times New Roman"/>
          <w:color w:val="000000"/>
          <w:sz w:val="20"/>
        </w:rPr>
        <w:t xml:space="preserve">(Form Type)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Aura Biosciences,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Newly Registered Securities </w:t>
      </w:r>
    </w:p>
    <w:tbl>
      <w:tblPr>
        <w:tblW w:w="10205" w:type="dxa"/>
        <w:jc w:val="left"/>
        <w:tblInd w:w="0" w:type="dxa"/>
        <w:tblLayout w:type="fixed"/>
        <w:tblCellMar>
          <w:top w:w="28" w:type="dxa"/>
          <w:left w:w="28" w:type="dxa"/>
          <w:bottom w:w="28" w:type="dxa"/>
          <w:right w:w="28" w:type="dxa"/>
        </w:tblCellMar>
      </w:tblPr>
      <w:tblGrid>
        <w:gridCol w:w="712"/>
        <w:gridCol w:w="146"/>
        <w:gridCol w:w="2430"/>
        <w:gridCol w:w="146"/>
        <w:gridCol w:w="781"/>
        <w:gridCol w:w="146"/>
        <w:gridCol w:w="1000"/>
        <w:gridCol w:w="146"/>
        <w:gridCol w:w="790"/>
        <w:gridCol w:w="146"/>
        <w:gridCol w:w="1291"/>
        <w:gridCol w:w="146"/>
        <w:gridCol w:w="1201"/>
        <w:gridCol w:w="146"/>
        <w:gridCol w:w="978"/>
      </w:tblGrid>
      <w:tr>
        <w:trPr/>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op w:val="single" w:sz="6" w:space="0" w:color="000000"/>
              <w:left w:val="single" w:sz="6" w:space="0" w:color="000000"/>
              <w:bottom w:val="single" w:sz="6" w:space="0" w:color="000000"/>
              <w:right w:val="single" w:sz="6" w:space="0" w:color="000000"/>
            </w:tcBorders>
            <w:tcMar>
              <w:left w:w="168"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Security Type</w:t>
            </w:r>
          </w:p>
        </w:tc>
        <w:tc>
          <w:tcPr>
            <w:tcW w:w="146"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pPr>
            <w:r>
              <w:rPr/>
              <w:t> </w:t>
            </w:r>
          </w:p>
        </w:tc>
        <w:tc>
          <w:tcPr>
            <w:tcW w:w="2430"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Security</w:t>
            </w:r>
          </w:p>
          <w:p>
            <w:pPr>
              <w:pStyle w:val="TableContents"/>
              <w:bidi w:val="0"/>
              <w:jc w:val="center"/>
              <w:rPr>
                <w:rFonts w:ascii="Times New Roman" w:hAnsi="Times New Roman"/>
                <w:color w:val="000000"/>
                <w:sz w:val="14"/>
              </w:rPr>
            </w:pPr>
            <w:r>
              <w:rPr>
                <w:rFonts w:ascii="Times New Roman" w:hAnsi="Times New Roman"/>
                <w:color w:val="000000"/>
                <w:sz w:val="14"/>
              </w:rPr>
              <w:t>Class</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Title</w:t>
            </w:r>
          </w:p>
        </w:tc>
        <w:tc>
          <w:tcPr>
            <w:tcW w:w="146"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pPr>
            <w:r>
              <w:rPr/>
              <w:t> </w:t>
            </w:r>
          </w:p>
        </w:tc>
        <w:tc>
          <w:tcPr>
            <w:tcW w:w="781"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Fee</w:t>
            </w:r>
          </w:p>
          <w:p>
            <w:pPr>
              <w:pStyle w:val="TableContents"/>
              <w:bidi w:val="0"/>
              <w:jc w:val="center"/>
              <w:rPr>
                <w:rFonts w:ascii="Times New Roman" w:hAnsi="Times New Roman"/>
                <w:color w:val="000000"/>
                <w:sz w:val="14"/>
              </w:rPr>
            </w:pPr>
            <w:r>
              <w:rPr>
                <w:rFonts w:ascii="Times New Roman" w:hAnsi="Times New Roman"/>
                <w:color w:val="000000"/>
                <w:sz w:val="14"/>
              </w:rPr>
              <w:t>Calculation</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Rule</w:t>
            </w:r>
          </w:p>
        </w:tc>
        <w:tc>
          <w:tcPr>
            <w:tcW w:w="146"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pPr>
            <w:r>
              <w:rPr/>
              <w:t> </w:t>
            </w:r>
          </w:p>
        </w:tc>
        <w:tc>
          <w:tcPr>
            <w:tcW w:w="1000"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Amount</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Registered(1)</w:t>
            </w:r>
          </w:p>
        </w:tc>
        <w:tc>
          <w:tcPr>
            <w:tcW w:w="146"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pPr>
            <w:r>
              <w:rPr/>
              <w:t> </w:t>
            </w:r>
          </w:p>
        </w:tc>
        <w:tc>
          <w:tcPr>
            <w:tcW w:w="790"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Proposed</w:t>
            </w:r>
          </w:p>
          <w:p>
            <w:pPr>
              <w:pStyle w:val="TableContents"/>
              <w:bidi w:val="0"/>
              <w:jc w:val="center"/>
              <w:rPr>
                <w:rFonts w:ascii="Times New Roman" w:hAnsi="Times New Roman"/>
                <w:color w:val="000000"/>
                <w:sz w:val="14"/>
              </w:rPr>
            </w:pPr>
            <w:r>
              <w:rPr>
                <w:rFonts w:ascii="Times New Roman" w:hAnsi="Times New Roman"/>
                <w:color w:val="000000"/>
                <w:sz w:val="14"/>
              </w:rPr>
              <w:t>Maximum</w:t>
            </w:r>
          </w:p>
          <w:p>
            <w:pPr>
              <w:pStyle w:val="TableContents"/>
              <w:bidi w:val="0"/>
              <w:jc w:val="center"/>
              <w:rPr>
                <w:rFonts w:ascii="Times New Roman" w:hAnsi="Times New Roman"/>
                <w:color w:val="000000"/>
                <w:sz w:val="14"/>
              </w:rPr>
            </w:pPr>
            <w:r>
              <w:rPr>
                <w:rFonts w:ascii="Times New Roman" w:hAnsi="Times New Roman"/>
                <w:color w:val="000000"/>
                <w:sz w:val="14"/>
              </w:rPr>
              <w:t>Offering</w:t>
            </w:r>
          </w:p>
          <w:p>
            <w:pPr>
              <w:pStyle w:val="TableContents"/>
              <w:bidi w:val="0"/>
              <w:jc w:val="center"/>
              <w:rPr>
                <w:rFonts w:ascii="Times New Roman" w:hAnsi="Times New Roman"/>
                <w:color w:val="000000"/>
                <w:sz w:val="14"/>
              </w:rPr>
            </w:pPr>
            <w:r>
              <w:rPr>
                <w:rFonts w:ascii="Times New Roman" w:hAnsi="Times New Roman"/>
                <w:color w:val="000000"/>
                <w:sz w:val="14"/>
              </w:rPr>
              <w:t>Price Per</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Share</w:t>
            </w:r>
          </w:p>
        </w:tc>
        <w:tc>
          <w:tcPr>
            <w:tcW w:w="146"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pPr>
            <w:r>
              <w:rPr/>
              <w:t> </w:t>
            </w:r>
          </w:p>
        </w:tc>
        <w:tc>
          <w:tcPr>
            <w:tcW w:w="1291"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Maximum</w:t>
            </w:r>
          </w:p>
          <w:p>
            <w:pPr>
              <w:pStyle w:val="TableContents"/>
              <w:bidi w:val="0"/>
              <w:jc w:val="center"/>
              <w:rPr>
                <w:rFonts w:ascii="Times New Roman" w:hAnsi="Times New Roman"/>
                <w:color w:val="000000"/>
                <w:sz w:val="14"/>
              </w:rPr>
            </w:pPr>
            <w:r>
              <w:rPr>
                <w:rFonts w:ascii="Times New Roman" w:hAnsi="Times New Roman"/>
                <w:color w:val="000000"/>
                <w:sz w:val="14"/>
              </w:rPr>
              <w:t>Aggregate</w:t>
            </w:r>
          </w:p>
          <w:p>
            <w:pPr>
              <w:pStyle w:val="TableContents"/>
              <w:bidi w:val="0"/>
              <w:jc w:val="center"/>
              <w:rPr>
                <w:rFonts w:ascii="Times New Roman" w:hAnsi="Times New Roman"/>
                <w:color w:val="000000"/>
                <w:sz w:val="14"/>
              </w:rPr>
            </w:pPr>
            <w:r>
              <w:rPr>
                <w:rFonts w:ascii="Times New Roman" w:hAnsi="Times New Roman"/>
                <w:color w:val="000000"/>
                <w:sz w:val="14"/>
              </w:rPr>
              <w:t>Offering</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Price</w:t>
            </w:r>
          </w:p>
        </w:tc>
        <w:tc>
          <w:tcPr>
            <w:tcW w:w="146"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pPr>
            <w:r>
              <w:rPr/>
              <w:t> </w:t>
            </w:r>
          </w:p>
        </w:tc>
        <w:tc>
          <w:tcPr>
            <w:tcW w:w="1201"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Fee</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Rate</w:t>
            </w:r>
          </w:p>
        </w:tc>
        <w:tc>
          <w:tcPr>
            <w:tcW w:w="146"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pPr>
            <w:r>
              <w:rPr/>
              <w:t> </w:t>
            </w:r>
          </w:p>
        </w:tc>
        <w:tc>
          <w:tcPr>
            <w:tcW w:w="978" w:type="dxa"/>
            <w:tcBorders>
              <w:top w:val="single" w:sz="6" w:space="0" w:color="000000"/>
              <w:bottom w:val="single" w:sz="6" w:space="0" w:color="000000"/>
              <w:right w:val="single" w:sz="6" w:space="0" w:color="000000"/>
            </w:tcBorders>
            <w:tcMar>
              <w:left w:w="0" w:type="dxa"/>
              <w:right w:w="48"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Amount of</w:t>
            </w:r>
          </w:p>
          <w:p>
            <w:pPr>
              <w:pStyle w:val="TableContents"/>
              <w:bidi w:val="0"/>
              <w:jc w:val="center"/>
              <w:rPr>
                <w:rFonts w:ascii="Times New Roman" w:hAnsi="Times New Roman"/>
                <w:color w:val="000000"/>
                <w:sz w:val="14"/>
              </w:rPr>
            </w:pPr>
            <w:r>
              <w:rPr>
                <w:rFonts w:ascii="Times New Roman" w:hAnsi="Times New Roman"/>
                <w:color w:val="000000"/>
                <w:sz w:val="14"/>
              </w:rPr>
              <w:t>Registration</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Fee</w:t>
            </w:r>
          </w:p>
        </w:tc>
      </w:tr>
      <w:tr>
        <w:trPr/>
        <w:tc>
          <w:tcPr>
            <w:tcW w:w="712" w:type="dxa"/>
            <w:tcBorders>
              <w:left w:val="single" w:sz="6" w:space="0" w:color="000000"/>
              <w:bottom w:val="single" w:sz="6" w:space="0" w:color="000000"/>
              <w:right w:val="single" w:sz="6" w:space="0" w:color="000000"/>
            </w:tcBorders>
            <w:tcMar>
              <w:top w:w="0" w:type="dxa"/>
              <w:left w:w="16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243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Non-Qualified Stock Option Agreement (Inducement Award) Common Stock, $0.00001 par value per share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676,991 (2)</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$7.69 (3)</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$5,206,061.00</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$0.00013810</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$718.96</w:t>
            </w:r>
          </w:p>
        </w:tc>
      </w:tr>
      <w:tr>
        <w:trPr/>
        <w:tc>
          <w:tcPr>
            <w:tcW w:w="712" w:type="dxa"/>
            <w:tcBorders>
              <w:left w:val="single" w:sz="6" w:space="0" w:color="000000"/>
              <w:bottom w:val="single" w:sz="6" w:space="0" w:color="000000"/>
              <w:right w:val="single" w:sz="6" w:space="0" w:color="000000"/>
            </w:tcBorders>
            <w:tcMar>
              <w:top w:w="0" w:type="dxa"/>
              <w:left w:w="16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43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Restricted Stock Unit Award Agreement (Inducement Award) Common Stock, $0.00001 par value per share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343,009 (4)</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$7.69 (3)</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$2,637,740.00</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$0.00013810</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$364.28</w:t>
            </w:r>
          </w:p>
        </w:tc>
      </w:tr>
      <w:tr>
        <w:trPr/>
        <w:tc>
          <w:tcPr>
            <w:tcW w:w="5361" w:type="dxa"/>
            <w:gridSpan w:val="7"/>
            <w:tcBorders>
              <w:left w:val="single" w:sz="6" w:space="0" w:color="000000"/>
              <w:bottom w:val="single" w:sz="6" w:space="0" w:color="000000"/>
              <w:right w:val="single" w:sz="6" w:space="0" w:color="000000"/>
            </w:tcBorders>
            <w:tcMar>
              <w:top w:w="0" w:type="dxa"/>
              <w:left w:w="16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Offering Amounts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$7,843,801.00</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$1,083.24</w:t>
            </w:r>
          </w:p>
        </w:tc>
      </w:tr>
      <w:tr>
        <w:trPr/>
        <w:tc>
          <w:tcPr>
            <w:tcW w:w="5361" w:type="dxa"/>
            <w:gridSpan w:val="7"/>
            <w:tcBorders>
              <w:left w:val="single" w:sz="6" w:space="0" w:color="000000"/>
              <w:bottom w:val="single" w:sz="6" w:space="0" w:color="000000"/>
              <w:right w:val="single" w:sz="6" w:space="0" w:color="000000"/>
            </w:tcBorders>
            <w:tcMar>
              <w:top w:w="0" w:type="dxa"/>
              <w:left w:w="16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Fees Previously Paid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5361" w:type="dxa"/>
            <w:gridSpan w:val="7"/>
            <w:tcBorders>
              <w:left w:val="single" w:sz="6" w:space="0" w:color="000000"/>
              <w:bottom w:val="single" w:sz="6" w:space="0" w:color="000000"/>
              <w:right w:val="single" w:sz="6" w:space="0" w:color="000000"/>
            </w:tcBorders>
            <w:tcMar>
              <w:top w:w="0" w:type="dxa"/>
              <w:left w:w="16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Fee Offsets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5361" w:type="dxa"/>
            <w:gridSpan w:val="7"/>
            <w:tcBorders>
              <w:left w:val="single" w:sz="6" w:space="0" w:color="000000"/>
              <w:bottom w:val="single" w:sz="6" w:space="0" w:color="000000"/>
              <w:right w:val="single" w:sz="6" w:space="0" w:color="000000"/>
            </w:tcBorders>
            <w:tcMar>
              <w:top w:w="0" w:type="dxa"/>
              <w:left w:w="16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 Fee Due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$1,083.24</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
        <w:gridCol w:w="9907"/>
      </w:tblGrid>
      <w:tr>
        <w:trPr/>
        <w:tc>
          <w:tcPr>
            <w:tcW w:w="298" w:type="dxa"/>
            <w:tcBorders/>
            <w:vAlign w:val="center"/>
          </w:tcPr>
          <w:p>
            <w:pPr>
              <w:pStyle w:val="TableContents"/>
              <w:bidi w:val="0"/>
              <w:spacing w:before="0" w:after="283"/>
              <w:jc w:val="left"/>
              <w:rPr>
                <w:sz w:val="4"/>
                <w:szCs w:val="4"/>
              </w:rPr>
            </w:pPr>
            <w:r>
              <w:rPr>
                <w:sz w:val="4"/>
                <w:szCs w:val="4"/>
              </w:rPr>
            </w:r>
          </w:p>
        </w:tc>
        <w:tc>
          <w:tcPr>
            <w:tcW w:w="9907" w:type="dxa"/>
            <w:tcBorders/>
            <w:vAlign w:val="center"/>
          </w:tcPr>
          <w:p>
            <w:pPr>
              <w:pStyle w:val="TableContents"/>
              <w:bidi w:val="0"/>
              <w:spacing w:before="0" w:after="283"/>
              <w:jc w:val="left"/>
              <w:rPr>
                <w:sz w:val="4"/>
                <w:szCs w:val="4"/>
              </w:rPr>
            </w:pPr>
            <w:r>
              <w:rPr>
                <w:sz w:val="4"/>
                <w:szCs w:val="4"/>
              </w:rPr>
            </w:r>
          </w:p>
        </w:tc>
      </w:tr>
      <w:tr>
        <w:trPr/>
        <w:tc>
          <w:tcPr>
            <w:tcW w:w="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Pursuant to Rule 416 under the Securities Act of 1933, as amended (the “Securities Act”), this Registration Statement shall also cover any additional shares of the Registrant’s common stock, $0.00001 par value per share (the “Common Stock”), which may become issuable by reason of any stock dividend, stock split, recapitalization or any other similar transaction effected without the receipt of consideration which results in an increase in the number of the Registrant’s outstanding shares of Common Stock.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
        <w:gridCol w:w="9900"/>
      </w:tblGrid>
      <w:tr>
        <w:trPr/>
        <w:tc>
          <w:tcPr>
            <w:tcW w:w="305" w:type="dxa"/>
            <w:tcBorders/>
            <w:vAlign w:val="center"/>
          </w:tcPr>
          <w:p>
            <w:pPr>
              <w:pStyle w:val="TableContents"/>
              <w:bidi w:val="0"/>
              <w:spacing w:before="0" w:after="283"/>
              <w:jc w:val="left"/>
              <w:rPr>
                <w:sz w:val="4"/>
                <w:szCs w:val="4"/>
              </w:rPr>
            </w:pPr>
            <w:r>
              <w:rPr>
                <w:sz w:val="4"/>
                <w:szCs w:val="4"/>
              </w:rPr>
            </w:r>
          </w:p>
        </w:tc>
        <w:tc>
          <w:tcPr>
            <w:tcW w:w="9900" w:type="dxa"/>
            <w:tcBorders/>
            <w:vAlign w:val="center"/>
          </w:tcPr>
          <w:p>
            <w:pPr>
              <w:pStyle w:val="TableContents"/>
              <w:bidi w:val="0"/>
              <w:spacing w:before="0" w:after="283"/>
              <w:jc w:val="left"/>
              <w:rPr>
                <w:sz w:val="4"/>
                <w:szCs w:val="4"/>
              </w:rPr>
            </w:pPr>
            <w:r>
              <w:rPr>
                <w:sz w:val="4"/>
                <w:szCs w:val="4"/>
              </w:rPr>
            </w:r>
          </w:p>
        </w:tc>
      </w:tr>
      <w:tr>
        <w:trPr/>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Represents shares of the Registrant's Common Stock issuable upon the exercise of non-qualified stock options granted to three newly-hired employees pursuant to the Form of Non-Qualified Stock Option Agreement (Inducement Award) as an inducement material to entry into employment with the Registrant under Nasdaq Listing Rule 5635(c)(4).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3"/>
        <w:gridCol w:w="9892"/>
      </w:tblGrid>
      <w:tr>
        <w:trPr/>
        <w:tc>
          <w:tcPr>
            <w:tcW w:w="313" w:type="dxa"/>
            <w:tcBorders/>
            <w:vAlign w:val="center"/>
          </w:tcPr>
          <w:p>
            <w:pPr>
              <w:pStyle w:val="TableContents"/>
              <w:bidi w:val="0"/>
              <w:spacing w:before="0" w:after="283"/>
              <w:jc w:val="left"/>
              <w:rPr>
                <w:sz w:val="4"/>
                <w:szCs w:val="4"/>
              </w:rPr>
            </w:pPr>
            <w:r>
              <w:rPr>
                <w:sz w:val="4"/>
                <w:szCs w:val="4"/>
              </w:rPr>
            </w:r>
          </w:p>
        </w:tc>
        <w:tc>
          <w:tcPr>
            <w:tcW w:w="9892" w:type="dxa"/>
            <w:tcBorders/>
            <w:vAlign w:val="center"/>
          </w:tcPr>
          <w:p>
            <w:pPr>
              <w:pStyle w:val="TableContents"/>
              <w:bidi w:val="0"/>
              <w:spacing w:before="0" w:after="283"/>
              <w:jc w:val="left"/>
              <w:rPr>
                <w:sz w:val="4"/>
                <w:szCs w:val="4"/>
              </w:rPr>
            </w:pPr>
            <w:r>
              <w:rPr>
                <w:sz w:val="4"/>
                <w:szCs w:val="4"/>
              </w:rPr>
            </w:r>
          </w:p>
        </w:tc>
      </w:tr>
      <w:tr>
        <w:trPr/>
        <w:tc>
          <w:tcPr>
            <w:tcW w:w="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Estimated solely for purposes of calculating the registration fee pursuant to Rules 457(c) and (h) of the Securities Act, and based on the average of the high and low sale prices of the Common Stock on the Nasdaq Global Market on August 26, 2026.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
        <w:gridCol w:w="9900"/>
      </w:tblGrid>
      <w:tr>
        <w:trPr/>
        <w:tc>
          <w:tcPr>
            <w:tcW w:w="305" w:type="dxa"/>
            <w:tcBorders/>
            <w:vAlign w:val="center"/>
          </w:tcPr>
          <w:p>
            <w:pPr>
              <w:pStyle w:val="TableContents"/>
              <w:bidi w:val="0"/>
              <w:spacing w:before="0" w:after="283"/>
              <w:jc w:val="left"/>
              <w:rPr>
                <w:sz w:val="4"/>
                <w:szCs w:val="4"/>
              </w:rPr>
            </w:pPr>
            <w:r>
              <w:rPr>
                <w:sz w:val="4"/>
                <w:szCs w:val="4"/>
              </w:rPr>
            </w:r>
          </w:p>
        </w:tc>
        <w:tc>
          <w:tcPr>
            <w:tcW w:w="9900" w:type="dxa"/>
            <w:tcBorders/>
            <w:vAlign w:val="center"/>
          </w:tcPr>
          <w:p>
            <w:pPr>
              <w:pStyle w:val="TableContents"/>
              <w:bidi w:val="0"/>
              <w:spacing w:before="0" w:after="283"/>
              <w:jc w:val="left"/>
              <w:rPr>
                <w:sz w:val="4"/>
                <w:szCs w:val="4"/>
              </w:rPr>
            </w:pPr>
            <w:r>
              <w:rPr>
                <w:sz w:val="4"/>
                <w:szCs w:val="4"/>
              </w:rPr>
            </w:r>
          </w:p>
        </w:tc>
      </w:tr>
      <w:tr>
        <w:trPr/>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Represents shares of the Registrant's Common Stock issuable upon the settlement of restricted stock units granted to three newly-hired employees pursuant to the Form of Restricted Stock Unit Award Agreement (Inducement Award), as an inducement material to entry into employment with the Registrant under Nasdaq Listing Rule 5635(c)(4).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01796/000119312526130401/aura-20251231.htm" TargetMode="External"/><Relationship Id="rId3" Type="http://schemas.openxmlformats.org/officeDocument/2006/relationships/hyperlink" Target="https://www.sec.gov/ix?doc=/Archives/edgar/data/1501796/000119312526163933/aura-20260417.htm" TargetMode="External"/><Relationship Id="rId4" Type="http://schemas.openxmlformats.org/officeDocument/2006/relationships/hyperlink" Target="https://www.sec.gov/Archives/edgar/data/1501796/000119312521307948/d243510d8a12b.htm" TargetMode="External"/><Relationship Id="rId5" Type="http://schemas.openxmlformats.org/officeDocument/2006/relationships/hyperlink" Target="https://www.sec.gov/Archives/edgar/data/1501796/000119312526344699/d140546dex41.htm" TargetMode="External"/><Relationship Id="rId6" Type="http://schemas.openxmlformats.org/officeDocument/2006/relationships/hyperlink" Target="https://www.sec.gov/Archives/edgar/data/1501796/000119312526344699/d140546ds3.htm" TargetMode="External"/><Relationship Id="rId7" Type="http://schemas.openxmlformats.org/officeDocument/2006/relationships/hyperlink" Target="https://www.sec.gov/Archives/edgar/data/1501796/000119312521305934/d209588dex41.htm" TargetMode="External"/><Relationship Id="rId8" Type="http://schemas.openxmlformats.org/officeDocument/2006/relationships/hyperlink" Target="https://www.sec.gov/Archives/edgar/data/1501796/000119312521305934/d209588dex41.htm" TargetMode="External"/><Relationship Id="rId9" Type="http://schemas.openxmlformats.org/officeDocument/2006/relationships/hyperlink" Target="https://www.sec.gov/Archives/edgar/data/1501796/000119312526343429/aura-ex3_1.htm" TargetMode="External"/><Relationship Id="rId10" Type="http://schemas.openxmlformats.org/officeDocument/2006/relationships/hyperlink" Target="https://www.sec.gov/Archives/edgar/data/1501796/000119312526343429/aura-ex3_1.htm" TargetMode="External"/><Relationship Id="rId11" Type="http://schemas.openxmlformats.org/officeDocument/2006/relationships/hyperlink" Target="https://www.sec.gov/Archives/edgar/data/0001501796/000095017022004425/aura-ex3_2.htm" TargetMode="External"/><Relationship Id="rId12" Type="http://schemas.openxmlformats.org/officeDocument/2006/relationships/hyperlink" Target="https://www.sec.gov/Archives/edgar/data/0001501796/000095017022004425/aura-ex3_2.htm" TargetMode="External"/><Relationship Id="rId13" Type="http://schemas.openxmlformats.org/officeDocument/2006/relationships/hyperlink" Target="https://www.sec.gov/Archives/edgar/data/1501796/000119312521295543/d209588dex42.htm" TargetMode="External"/><Relationship Id="rId14" Type="http://schemas.openxmlformats.org/officeDocument/2006/relationships/hyperlink" Target="https://www.sec.gov/Archives/edgar/data/1501796/000119312521295543/d209588dex42.htm" TargetMode="External"/><Relationship Id="rId15" Type="http://schemas.openxmlformats.org/officeDocument/2006/relationships/hyperlink" Target="https://www.sec.gov/Archives/edgar/data/1501796/000119312525121677/d213451dex41.htm" TargetMode="External"/><Relationship Id="rId16" Type="http://schemas.openxmlformats.org/officeDocument/2006/relationships/hyperlink" Target="https://www.sec.gov/Archives/edgar/data/1501796/000119312525121677/d213451dex42.htm" TargetMode="External"/><Relationship Id="rId17" Type="http://schemas.openxmlformats.org/officeDocument/2006/relationships/hyperlink" Target="https://www.sec.gov/Archives/edgar/data/1501796/000119312526206804/d133115dex41.htm" TargetMode="External"/><Relationship Id="rId18" Type="http://schemas.openxmlformats.org/officeDocument/2006/relationships/hyperlink" Target="https://www.sec.gov/Archives/edgar/data/1501796/000119312526230896/d118275dex991.htm" TargetMode="External"/><Relationship Id="rId19" Type="http://schemas.openxmlformats.org/officeDocument/2006/relationships/hyperlink" Target="https://www.sec.gov/Archives/edgar/data/1501796/000119312521313316/d249509dex101.htm" TargetMode="External"/><Relationship Id="rId20" Type="http://schemas.openxmlformats.org/officeDocument/2006/relationships/hyperlink" Target="https://www.sec.gov/Archives/edgar/data/1501796/000119312526230896/d118275dex992.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4329</Words>
  <Characters>23604</Characters>
  <CharactersWithSpaces>28019</CharactersWithSpaces>
  <Paragraphs>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