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ura-20260630.htm"/>
      <w:bookmarkStart w:id="1" w:name="ksaura202606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40" w:after="283"/>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transition period from ___________________ to ___________________</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001-40971</w:t>
      </w:r>
    </w:p>
    <w:p>
      <w:pPr>
        <w:pStyle w:val="TextBody"/>
        <w:pBdr>
          <w:bottom w:val="single" w:sz="4" w:space="1" w:color="000000"/>
        </w:pBdr>
        <w:bidi w:val="0"/>
        <w:spacing w:before="40" w:after="100"/>
        <w:jc w:val="center"/>
        <w:rPr/>
      </w:pPr>
      <w:r>
        <w:rPr/>
        <w:t> </w:t>
      </w:r>
    </w:p>
    <w:p>
      <w:pPr>
        <w:pStyle w:val="TextBody"/>
        <w:bidi w:val="0"/>
        <w:jc w:val="center"/>
        <w:rPr>
          <w:rFonts w:ascii="Arial" w:hAnsi="Arial"/>
          <w:b/>
          <w:color w:val="000000"/>
          <w:sz w:val="48"/>
        </w:rPr>
      </w:pPr>
      <w:r>
        <w:rPr>
          <w:rFonts w:ascii="Arial" w:hAnsi="Arial"/>
          <w:b/>
          <w:color w:val="000000"/>
          <w:sz w:val="48"/>
        </w:rPr>
        <w:t>AURA BIOSCIENCES,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32-0271970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60" w:after="15"/>
              <w:jc w:val="center"/>
              <w:rPr>
                <w:rFonts w:ascii="Arial" w:hAnsi="Arial"/>
                <w:b/>
                <w:color w:val="000000"/>
                <w:sz w:val="20"/>
              </w:rPr>
            </w:pPr>
            <w:r>
              <w:rPr>
                <w:rFonts w:ascii="Arial" w:hAnsi="Arial"/>
                <w:b/>
                <w:color w:val="000000"/>
                <w:sz w:val="20"/>
              </w:rPr>
              <w:t>80 Guest Street</w:t>
            </w:r>
          </w:p>
          <w:p>
            <w:pPr>
              <w:pStyle w:val="TableContents"/>
              <w:bidi w:val="0"/>
              <w:spacing w:before="0" w:after="15"/>
              <w:jc w:val="center"/>
              <w:rPr>
                <w:rFonts w:ascii="Arial" w:hAnsi="Arial"/>
                <w:b/>
                <w:color w:val="000000"/>
                <w:sz w:val="20"/>
              </w:rPr>
            </w:pPr>
            <w:r>
              <w:rPr>
                <w:rFonts w:ascii="Arial" w:hAnsi="Arial"/>
                <w:b/>
                <w:color w:val="000000"/>
                <w:sz w:val="20"/>
              </w:rPr>
              <w:t>Boston, MA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02135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(617) 500-8864</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Arial" w:hAnsi="Arial"/>
          <w:b/>
          <w:color w:val="000000"/>
          <w:sz w:val="14"/>
        </w:rPr>
      </w:pPr>
      <w:r>
        <w:rPr>
          <w:rFonts w:ascii="Arial" w:hAnsi="Arial"/>
          <w:b/>
          <w:color w:val="000000"/>
          <w:sz w:val="14"/>
        </w:rPr>
        <w:t>(Former Name or Former Address,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AURA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Market LLC</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August 6, 2026, the Registrant had 103,704,809</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summary_of_the_material_risks"/>
      <w:bookmarkEnd w:id="2"/>
      <w:r>
        <w:rPr>
          <w:rFonts w:ascii="Arial" w:hAnsi="Arial"/>
          <w:b/>
          <w:color w:val="000000"/>
          <w:sz w:val="20"/>
        </w:rPr>
        <w:t>Summary of the Material Risks Associated with Our Business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Our business is subject to numerous material and other risks and uncertainties that you should be aware of in evaluating our business. These risks are described more fully in Part II, “Item 1A—Risk Factors,” in this Quarterly Report on Form 10-Q and include, but are not limited to,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20"/>
        </w:rPr>
      </w:pPr>
      <w:r>
        <w:rPr>
          <w:rFonts w:ascii="Arial" w:hAnsi="Arial"/>
          <w:color w:val="000000"/>
          <w:sz w:val="20"/>
        </w:rPr>
        <w:t>We have incurred significant net losses since our inception and anticipate that we will continue to incur losses for the foreseeable future.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Raising additional capital may cause dilution to our existing stockholders, restrict our operations or require us to relinquish proprietary rights to our technologies or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our objectives relating to the discovery, development, regulatory approval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are heavily dependent on the success of belzupacap sarotalocan, or bel-sar, our only product candidate to date.</w:t>
      </w:r>
    </w:p>
    <w:p>
      <w:pPr>
        <w:pStyle w:val="TextBody"/>
        <w:bidi w:val="0"/>
        <w:spacing w:before="40" w:after="283"/>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0" w:after="283"/>
        <w:jc w:val="both"/>
        <w:rPr>
          <w:rFonts w:ascii="Arial" w:hAnsi="Arial"/>
          <w:color w:val="000000"/>
          <w:sz w:val="20"/>
        </w:rPr>
      </w:pPr>
      <w:r>
        <w:rPr>
          <w:rFonts w:ascii="Arial" w:hAnsi="Arial"/>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have completed enrollment in our pivotal Phase 3 clinical trial, but we do not expect topline data until the second half of 2027, and we have not yet completed such trial nor commercialized any pharmaceutical products, which may make it difficult to evaluate our future prospects.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fail to develop additional product candidates, or obtain additional indications of our first product candidate, our commercial opportunity could be limited.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U.S. Food and Drug Administration’s agreement to a Special Protocol Assessment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bel-sar or any future product candidates do not achieve broad market acceptance, the revenue that we generate from their sales may be limited, and we may never become profitable.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compete may decline if we do not adequately protect our proprietary rights, and our proprietary rights do not necessarily address all potential threats to our competitive advantage.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Business disruptions could seriously harm our future revenue and financial condition and increase our costs and expenses.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principal stockholders and management own a significant percentage of our stock and will be able to exert significant influence over matters subject to stockholder approval.</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efficiently develop our existing product candidates and discover new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successfully manufacture our drug substances and product candidates for preclinical use, for clinical trials and on a larger scale for commercial use,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ability and willingness of our third-party strategic collaborators to continue research and development and other activities relating to our development candidates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funding for our operations necessary to complete further development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and maintain regulatory approval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commercialize our products,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pricing and reimbursement of our product candidates,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implementation of our business model, and strategic plans for our business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estimates of our future expenses, revenues, capital requirements and our needs for additional financing;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future agreements with third parties in connection with the commercialization of product candidates and any other approved product;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size and growth potential of the markets for our product candidates and our ability to serve those markets;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financial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rate and degree of market acceptance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regulatory developments in the United States and foreign countries;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produce our products or product candidates with advantages in turnaround times or manufacturing cost;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attract and retain key scientific or management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impact of laws and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developments relating to our competitors and our industry;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effects of macroeconomic conditions, including rising interest rates, inflation, capital market disruptions, changes in governmental agencies, government shutdowns, international tariffs, trade protection measures, economic sanctions and economic slowdowns or recessions, on our business operations;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other risks and uncertainties, including those listed under the caption “Risk Factors.”</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the_material_risks">
              <w:r>
                <w:rPr>
                  <w:rStyle w:val="InternetLink"/>
                  <w:rFonts w:ascii="Arial" w:hAnsi="Arial"/>
                  <w:color w:val="0000FF"/>
                  <w:sz w:val="20"/>
                  <w:u w:val="single"/>
                </w:rPr>
                <w:t>SUMMARY OF RISKS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
              <w:r>
                <w:rPr>
                  <w:rStyle w:val="InternetLink"/>
                  <w:rFonts w:ascii="Arial" w:hAnsi="Arial"/>
                  <w:color w:val="0000FF"/>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unaudited_condensed_consolidated_f">
              <w:r>
                <w:rPr>
                  <w:rStyle w:val="InternetLink"/>
                  <w:rFonts w:ascii="Arial" w:hAnsi="Arial"/>
                  <w:color w:val="0000FF"/>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alysis">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5" w:name="condensed_consolidated_balance_sheets"/>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722"/>
        <w:gridCol w:w="146"/>
        <w:gridCol w:w="227"/>
        <w:gridCol w:w="922"/>
        <w:gridCol w:w="166"/>
        <w:gridCol w:w="146"/>
        <w:gridCol w:w="253"/>
        <w:gridCol w:w="1029"/>
        <w:gridCol w:w="594"/>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59,515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169,430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13,591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18,383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32,517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150,000,000</w:t>
            </w:r>
            <w:r>
              <w:rPr>
                <w:rFonts w:ascii="Times New Roman" w:hAnsi="Times New Roman"/>
                <w:color w:val="000000"/>
                <w:sz w:val="20"/>
              </w:rPr>
              <w:t> </w:t>
            </w:r>
            <w:r>
              <w:rPr>
                <w:rFonts w:ascii="Arial" w:hAnsi="Arial"/>
                <w:color w:val="000000"/>
                <w:sz w:val="20"/>
              </w:rPr>
              <w:t>authorized at June 30, 2026 and December 31, 2025, and 103,480,053</w:t>
            </w:r>
            <w:r>
              <w:rPr>
                <w:rFonts w:ascii="Times New Roman" w:hAnsi="Times New Roman"/>
                <w:color w:val="000000"/>
                <w:sz w:val="20"/>
              </w:rPr>
              <w:t> </w:t>
            </w:r>
            <w:r>
              <w:rPr>
                <w:rFonts w:ascii="Arial" w:hAnsi="Arial"/>
                <w:color w:val="000000"/>
                <w:sz w:val="20"/>
              </w:rPr>
              <w:t>and 63,587,777</w:t>
            </w:r>
            <w:r>
              <w:rPr>
                <w:rFonts w:ascii="Times New Roman" w:hAnsi="Times New Roman"/>
                <w:color w:val="000000"/>
                <w:sz w:val="20"/>
              </w:rPr>
              <w:t> </w:t>
            </w:r>
            <w:r>
              <w:rPr>
                <w:rFonts w:ascii="Arial" w:hAnsi="Arial"/>
                <w:color w:val="000000"/>
                <w:sz w:val="20"/>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617,433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Treasury stock, at cost, 6,922,870</w:t>
            </w:r>
            <w:r>
              <w:rPr>
                <w:rFonts w:ascii="Times New Roman" w:hAnsi="Times New Roman"/>
                <w:color w:val="000000"/>
                <w:sz w:val="20"/>
              </w:rPr>
              <w:t> </w:t>
            </w:r>
            <w:r>
              <w:rPr>
                <w:rFonts w:ascii="Arial" w:hAnsi="Arial"/>
                <w:color w:val="000000"/>
                <w:sz w:val="20"/>
              </w:rPr>
              <w:t>shares held at June 30, 2026 and no</w:t>
            </w:r>
            <w:r>
              <w:rPr>
                <w:rFonts w:ascii="Times New Roman" w:hAnsi="Times New Roman"/>
                <w:color w:val="000000"/>
                <w:sz w:val="20"/>
              </w:rPr>
              <w:t> </w:t>
            </w:r>
            <w:r>
              <w:rPr>
                <w:rFonts w:ascii="Arial" w:hAnsi="Arial"/>
                <w:color w:val="000000"/>
                <w:sz w:val="20"/>
              </w:rPr>
              <w:t>shares held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(480,418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136,913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20"/>
              </w:rPr>
            </w:pPr>
            <w:r>
              <w:rPr>
                <w:rFonts w:ascii="Arial" w:hAnsi="Arial"/>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169,430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6" w:name="condensed_consolidated_statements_opera"/>
      <w:bookmarkEnd w:id="6"/>
      <w:r>
        <w:rPr>
          <w:rFonts w:ascii="Arial" w:hAnsi="Arial"/>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0"/>
        <w:gridCol w:w="146"/>
        <w:gridCol w:w="211"/>
        <w:gridCol w:w="1066"/>
        <w:gridCol w:w="166"/>
        <w:gridCol w:w="146"/>
        <w:gridCol w:w="211"/>
        <w:gridCol w:w="1066"/>
        <w:gridCol w:w="166"/>
        <w:gridCol w:w="211"/>
        <w:gridCol w:w="1066"/>
        <w:gridCol w:w="166"/>
        <w:gridCol w:w="146"/>
        <w:gridCol w:w="211"/>
        <w:gridCol w:w="1066"/>
        <w:gridCol w:w="491"/>
      </w:tblGrid>
      <w:tr>
        <w:trPr/>
        <w:tc>
          <w:tcPr>
            <w:tcW w:w="3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(54,502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94,863,400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58,015,718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81,231,222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54,092,728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(54,740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120" w:after="283"/>
        <w:jc w:val="center"/>
        <w:rPr>
          <w:rFonts w:ascii="Times New Roman" w:hAnsi="Times New Roman"/>
          <w:sz w:val="20"/>
        </w:rPr>
      </w:pPr>
      <w:bookmarkStart w:id="7" w:name="condensed_consolidated_statements_stock"/>
      <w:bookmarkEnd w:id="7"/>
      <w:r>
        <w:rPr>
          <w:rFonts w:ascii="Arial" w:hAnsi="Arial"/>
          <w:b/>
          <w:color w:val="000000"/>
          <w:sz w:val="19"/>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19"/>
        </w:rPr>
      </w:pPr>
      <w:r>
        <w:rPr>
          <w:rFonts w:ascii="Arial" w:hAnsi="Arial"/>
          <w:b/>
          <w:color w:val="000000"/>
          <w:sz w:val="19"/>
        </w:rPr>
        <w:t>(Unaudited)</w:t>
      </w:r>
    </w:p>
    <w:p>
      <w:pPr>
        <w:pStyle w:val="TextBody"/>
        <w:bidi w:val="0"/>
        <w:jc w:val="center"/>
        <w:rPr>
          <w:rFonts w:ascii="Arial" w:hAnsi="Arial"/>
          <w:b/>
          <w:color w:val="000000"/>
          <w:sz w:val="19"/>
        </w:rPr>
      </w:pPr>
      <w:r>
        <w:rPr>
          <w:rFonts w:ascii="Arial" w:hAnsi="Arial"/>
          <w:b/>
          <w:color w:val="000000"/>
          <w:sz w:val="19"/>
        </w:rPr>
        <w:t>(in thousands, except share data)</w:t>
      </w:r>
    </w:p>
    <w:p>
      <w:pPr>
        <w:pStyle w:val="TextBody"/>
        <w:bidi w:val="0"/>
        <w:jc w:val="center"/>
        <w:rPr/>
      </w:pPr>
      <w:r>
        <w:rPr/>
        <w:t> </w:t>
      </w:r>
    </w:p>
    <w:tbl>
      <w:tblPr>
        <w:tblW w:w="10780" w:type="dxa"/>
        <w:jc w:val="left"/>
        <w:tblInd w:w="0" w:type="dxa"/>
        <w:tblLayout w:type="fixed"/>
        <w:tblCellMar>
          <w:top w:w="28" w:type="dxa"/>
          <w:left w:w="28" w:type="dxa"/>
          <w:bottom w:w="28" w:type="dxa"/>
          <w:right w:w="28" w:type="dxa"/>
        </w:tblCellMar>
      </w:tblPr>
      <w:tblGrid>
        <w:gridCol w:w="1141"/>
        <w:gridCol w:w="146"/>
        <w:gridCol w:w="1006"/>
        <w:gridCol w:w="166"/>
        <w:gridCol w:w="271"/>
        <w:gridCol w:w="480"/>
        <w:gridCol w:w="146"/>
        <w:gridCol w:w="205"/>
        <w:gridCol w:w="726"/>
        <w:gridCol w:w="146"/>
        <w:gridCol w:w="146"/>
        <w:gridCol w:w="826"/>
        <w:gridCol w:w="146"/>
        <w:gridCol w:w="196"/>
        <w:gridCol w:w="661"/>
        <w:gridCol w:w="166"/>
        <w:gridCol w:w="239"/>
        <w:gridCol w:w="917"/>
        <w:gridCol w:w="166"/>
        <w:gridCol w:w="418"/>
        <w:gridCol w:w="933"/>
        <w:gridCol w:w="166"/>
        <w:gridCol w:w="255"/>
        <w:gridCol w:w="901"/>
        <w:gridCol w:w="21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Balance,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63,587,777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617,433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(480,418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136,913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Employee Stock Purchase Plan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Common stock warrant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500,744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(33,685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Balance,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64,150,468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621,557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(514,103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107,247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Issuance of common stock through follow-on offering, net of issuance costs of $618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46,099,650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259,383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259,384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Issuance of pre-funded warrants through follow-on offering, net of issuance costs of $51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Repurchase of common stock, including transaction costs of $48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(6,922,870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6,922,870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(39,093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(45,637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103,480,053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914,769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6,922,870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(559,740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315,267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Balance,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49,998,279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525,934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(374,227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151,970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Employee Stock Purchase Plan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(27,483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Balance,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50,225,312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529,571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(401,710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127,966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108,749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Issuance of common stock through follow-on offering, net of issuance costs of $384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11,735,565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46,517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Issuance of pre-funded warrants through follow-on offering, net of issuance costs of $117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Issuance of common stock warrants through follow-on offering, net of issuance costs of $76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(27,019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62,071,050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(428,729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174,629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8" w:name="condensed_consolidated_statements_cash_f"/>
      <w:bookmarkEnd w:id="8"/>
      <w:r>
        <w:rPr>
          <w:rFonts w:ascii="Arial" w:hAnsi="Arial"/>
          <w:b/>
          <w:color w:val="000000"/>
          <w:sz w:val="19"/>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19"/>
        </w:rPr>
      </w:pPr>
      <w:r>
        <w:rPr>
          <w:rFonts w:ascii="Arial" w:hAnsi="Arial"/>
          <w:b/>
          <w:color w:val="000000"/>
          <w:sz w:val="19"/>
        </w:rPr>
        <w:t>(Unaudited)</w:t>
      </w:r>
    </w:p>
    <w:p>
      <w:pPr>
        <w:pStyle w:val="TextBody"/>
        <w:bidi w:val="0"/>
        <w:jc w:val="center"/>
        <w:rPr>
          <w:rFonts w:ascii="Arial" w:hAnsi="Arial"/>
          <w:b/>
          <w:color w:val="000000"/>
          <w:sz w:val="19"/>
        </w:rPr>
      </w:pPr>
      <w:r>
        <w:rPr>
          <w:rFonts w:ascii="Arial" w:hAnsi="Arial"/>
          <w:b/>
          <w:color w:val="000000"/>
          <w:sz w:val="19"/>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01"/>
        <w:gridCol w:w="187"/>
        <w:gridCol w:w="271"/>
        <w:gridCol w:w="1099"/>
        <w:gridCol w:w="213"/>
        <w:gridCol w:w="187"/>
        <w:gridCol w:w="271"/>
        <w:gridCol w:w="1022"/>
        <w:gridCol w:w="1054"/>
      </w:tblGrid>
      <w:tr>
        <w:trPr/>
        <w:tc>
          <w:tcPr>
            <w:tcW w:w="59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Six Months Ended</w:t>
              <w:br/>
              <w:t>June 30,</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flows from operating activities: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(79,322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(54,502</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Adjustments to reconcile net loss to net cash used in operating activities: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Depreciation expense</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577</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Accretion income on marketable securities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(785</w:t>
            </w:r>
          </w:p>
        </w:tc>
        <w:tc>
          <w:tcPr>
            <w:tcW w:w="105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 expense</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16,192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7,347</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 non-cash items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105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Non-cash lease expense</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757</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Changes in operating assets and liabilities: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Prepaid expenses and other assets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2,882</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Other long-term assets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333</w:t>
            </w:r>
          </w:p>
        </w:tc>
        <w:tc>
          <w:tcPr>
            <w:tcW w:w="1054"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Accounts payable</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(1,018</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Accrued expenses and other liabilities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910</w:t>
            </w:r>
          </w:p>
        </w:tc>
        <w:tc>
          <w:tcPr>
            <w:tcW w:w="1054"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Operating lease liabilities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(783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(657</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9"/>
              </w:rPr>
            </w:pPr>
            <w:r>
              <w:rPr>
                <w:rFonts w:ascii="Arial" w:hAnsi="Arial"/>
                <w:color w:val="000000"/>
                <w:sz w:val="19"/>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Net cash used in operating activities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(62,394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(44,129</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flows from investing activities: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Purchases of property and equipment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(226</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Purchases of marketable securities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(256,014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(9,984</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Maturities of marketable securities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85,000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60,000</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Net cash provided by (used in) investing activities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(171,137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49,790</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flows from financing activities: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exercise of stock options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exercise of common stock warrants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issuance of common stock from follow-on offering, net of issuance costs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259,384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46,517</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issuance of pre-funded warrants from follow-on offering, net of issuance costs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21,381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14,156</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issuance of common stock warrants from follow-on offering, net of issuance costs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9,254</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Repurchase of common stock, including transaction costs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(39,093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ESPP purchases</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Net cash provided by financing activities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242,052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70,025</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increase in cash, cash equivalents and restricted cash</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75,686</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Effect of exchange rate changes on cash and cash equivalents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cash equivalents and restricted cash at beginning of period</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60,283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32,461</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cash equivalents and restricted cash at end of period</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68,604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108,135</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Supplemental disclosure of cash flow information:</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Purchases of property and equipment in accounts payable and accrued expenses and other liabilities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5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(in thousands):</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June 30,</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Cash and cash equivalents, end of period</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67,836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107,367</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Long-term restricted cash, end of period</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768</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cash equivalents and restricted cash at end of period</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68,604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108,135</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9" w:name="notes_unaudited_condensed_consolidated_f"/>
      <w:bookmarkEnd w:id="9"/>
      <w:r>
        <w:rPr>
          <w:rFonts w:ascii="Arial" w:hAnsi="Arial"/>
          <w:b/>
          <w:color w:val="000000"/>
          <w:sz w:val="20"/>
        </w:rPr>
        <w:t>Notes to Unaudited Condensed Consolidated Financial Statements</w:t>
      </w:r>
    </w:p>
    <w:p>
      <w:pPr>
        <w:pStyle w:val="TextBody"/>
        <w:bidi w:val="0"/>
        <w:spacing w:before="240" w:after="283"/>
        <w:jc w:val="left"/>
        <w:rPr>
          <w:rFonts w:ascii="Arial" w:hAnsi="Arial"/>
          <w:b/>
          <w:color w:val="000000"/>
          <w:sz w:val="20"/>
        </w:rPr>
      </w:pPr>
      <w:r>
        <w:rPr>
          <w:rFonts w:ascii="Arial" w:hAnsi="Arial"/>
          <w:b/>
          <w:color w:val="000000"/>
          <w:sz w:val="20"/>
        </w:rPr>
        <w:t>1. Description of Business</w:t>
      </w:r>
    </w:p>
    <w:p>
      <w:pPr>
        <w:pStyle w:val="TextBody"/>
        <w:bidi w:val="0"/>
        <w:spacing w:before="80" w:after="283"/>
        <w:jc w:val="both"/>
        <w:rPr>
          <w:rFonts w:ascii="Arial" w:hAnsi="Arial"/>
          <w:color w:val="000000"/>
          <w:sz w:val="20"/>
        </w:rPr>
      </w:pPr>
      <w:r>
        <w:rPr>
          <w:rFonts w:ascii="Arial" w:hAnsi="Arial"/>
          <w:color w:val="000000"/>
          <w:sz w:val="20"/>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its ongoing global Phase 3 CoMpass trial for the first-line treatment of adult patients with small choroidal melanoma and/or indeterminate lesions, or early choroidal melanoma. Bel-sar is also in clinical development in metastases to the choroid and is being explored for cancers of the ocular surface. The Company envisions the potential for development of bel-sar in additional therapeutic areas. Aura’s headquarters are located in Boston, Massachusetts.</w:t>
      </w:r>
    </w:p>
    <w:p>
      <w:pPr>
        <w:pStyle w:val="TextBody"/>
        <w:bidi w:val="0"/>
        <w:spacing w:before="240" w:after="283"/>
        <w:jc w:val="both"/>
        <w:rPr>
          <w:rFonts w:ascii="Times New Roman" w:hAnsi="Times New Roman"/>
          <w:sz w:val="20"/>
        </w:rPr>
      </w:pPr>
      <w:r>
        <w:rPr>
          <w:rFonts w:ascii="Arial" w:hAnsi="Arial"/>
          <w:color w:val="000000"/>
          <w:sz w:val="20"/>
        </w:rPr>
        <w:t>The Company’s operations to date have consisted primarily of conducting research and development and raising capital.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Through June 30, 2026, the Company has funded its operations primarily with proceeds from the initial and additional closings of its convertible preferred stock financings, and through its initial public offering, or IPO, follow-on offerings and at-the-market offerings, or ATM.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May 5, 2026, the Company issued and sold (i) 46,099,650</w:t>
      </w:r>
      <w:r>
        <w:rPr>
          <w:rFonts w:ascii="Times New Roman" w:hAnsi="Times New Roman"/>
          <w:color w:val="000000"/>
          <w:sz w:val="20"/>
        </w:rPr>
        <w:t xml:space="preserve"> </w:t>
      </w:r>
      <w:r>
        <w:rPr>
          <w:rFonts w:ascii="Arial" w:hAnsi="Arial"/>
          <w:color w:val="000000"/>
          <w:sz w:val="20"/>
        </w:rPr>
        <w:t>shares of common stock, which includes 6,508,650</w:t>
      </w:r>
      <w:r>
        <w:rPr>
          <w:rFonts w:ascii="Times New Roman" w:hAnsi="Times New Roman"/>
          <w:color w:val="000000"/>
          <w:sz w:val="20"/>
        </w:rPr>
        <w:t xml:space="preserve"> </w:t>
      </w:r>
      <w:r>
        <w:rPr>
          <w:rFonts w:ascii="Arial" w:hAnsi="Arial"/>
          <w:color w:val="000000"/>
          <w:sz w:val="20"/>
        </w:rPr>
        <w:t>shares sold upon the underwriters’ exercise in full of their option to purchase additional shares of common stock, and (ii) in lieu of common stock to certain investors, pre-funded warrants to purchase an aggregate of up to 3,800,000</w:t>
      </w:r>
      <w:r>
        <w:rPr>
          <w:rFonts w:ascii="Times New Roman" w:hAnsi="Times New Roman"/>
          <w:color w:val="000000"/>
          <w:sz w:val="20"/>
        </w:rPr>
        <w:t xml:space="preserve"> </w:t>
      </w:r>
      <w:r>
        <w:rPr>
          <w:rFonts w:ascii="Arial" w:hAnsi="Arial"/>
          <w:color w:val="000000"/>
          <w:sz w:val="20"/>
        </w:rPr>
        <w:t>shares of its common stock, or the 2026 Follow-On Offering. Each such share of common stock was sold at a price to the public of $6.00</w:t>
      </w:r>
      <w:r>
        <w:rPr>
          <w:rFonts w:ascii="Times New Roman" w:hAnsi="Times New Roman"/>
          <w:color w:val="000000"/>
          <w:sz w:val="20"/>
        </w:rPr>
        <w:t xml:space="preserve"> </w:t>
      </w:r>
      <w:r>
        <w:rPr>
          <w:rFonts w:ascii="Arial" w:hAnsi="Arial"/>
          <w:color w:val="000000"/>
          <w:sz w:val="20"/>
        </w:rPr>
        <w:t>per share and each such pre-funded warrant was offered and sold at a price to the public of $5.99999</w:t>
      </w:r>
      <w:r>
        <w:rPr>
          <w:rFonts w:ascii="Times New Roman" w:hAnsi="Times New Roman"/>
          <w:color w:val="000000"/>
          <w:sz w:val="20"/>
        </w:rPr>
        <w:t xml:space="preserve"> </w:t>
      </w:r>
      <w:r>
        <w:rPr>
          <w:rFonts w:ascii="Arial" w:hAnsi="Arial"/>
          <w:color w:val="000000"/>
          <w:sz w:val="20"/>
        </w:rPr>
        <w:t>per pre-funded warrant. The Company received approximately $280.8</w:t>
      </w:r>
      <w:r>
        <w:rPr>
          <w:rFonts w:ascii="Times New Roman" w:hAnsi="Times New Roman"/>
          <w:color w:val="000000"/>
          <w:sz w:val="20"/>
        </w:rPr>
        <w:t xml:space="preserve"> </w:t>
      </w:r>
      <w:r>
        <w:rPr>
          <w:rFonts w:ascii="Arial" w:hAnsi="Arial"/>
          <w:color w:val="000000"/>
          <w:sz w:val="20"/>
        </w:rPr>
        <w:t>million in net proceeds from the 2026 Follow-On Offering, after deducting underwriting discounts and commissions and offering expenses, of which approximately $39.0</w:t>
      </w:r>
      <w:r>
        <w:rPr>
          <w:rFonts w:ascii="Times New Roman" w:hAnsi="Times New Roman"/>
          <w:color w:val="000000"/>
          <w:sz w:val="20"/>
        </w:rPr>
        <w:t xml:space="preserve"> </w:t>
      </w:r>
      <w:r>
        <w:rPr>
          <w:rFonts w:ascii="Arial" w:hAnsi="Arial"/>
          <w:color w:val="000000"/>
          <w:sz w:val="20"/>
        </w:rPr>
        <w:t>million were used by the Company to repurchase 6,922,870</w:t>
      </w:r>
      <w:r>
        <w:rPr>
          <w:rFonts w:ascii="Times New Roman" w:hAnsi="Times New Roman"/>
          <w:color w:val="000000"/>
          <w:sz w:val="20"/>
        </w:rPr>
        <w:t xml:space="preserve"> </w:t>
      </w:r>
      <w:r>
        <w:rPr>
          <w:rFonts w:ascii="Arial" w:hAnsi="Arial"/>
          <w:color w:val="000000"/>
          <w:sz w:val="20"/>
        </w:rPr>
        <w:t>shares of common stock from Matrix Capital Management Master Fund, LP, or Matrix, at a price per share of $5.64, on May 7, 2026, or the Matrix Repurchase.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May 16, 2025, the Company issued and sold 11,735,565</w:t>
      </w:r>
      <w:r>
        <w:rPr>
          <w:rFonts w:ascii="Times New Roman" w:hAnsi="Times New Roman"/>
          <w:color w:val="000000"/>
          <w:sz w:val="20"/>
        </w:rPr>
        <w:t xml:space="preserve"> </w:t>
      </w:r>
      <w:r>
        <w:rPr>
          <w:rFonts w:ascii="Arial" w:hAnsi="Arial"/>
          <w:color w:val="000000"/>
          <w:sz w:val="20"/>
        </w:rPr>
        <w:t>shares of common stock, pre-funded warrants to purchase up to 3,571,435</w:t>
      </w:r>
      <w:r>
        <w:rPr>
          <w:rFonts w:ascii="Times New Roman" w:hAnsi="Times New Roman"/>
          <w:color w:val="000000"/>
          <w:sz w:val="20"/>
        </w:rPr>
        <w:t xml:space="preserve"> </w:t>
      </w:r>
      <w:r>
        <w:rPr>
          <w:rFonts w:ascii="Arial" w:hAnsi="Arial"/>
          <w:color w:val="000000"/>
          <w:sz w:val="20"/>
        </w:rPr>
        <w:t>shares of common stock, and accompanying warrants to purchase an aggregate of 3,826,750</w:t>
      </w:r>
      <w:r>
        <w:rPr>
          <w:rFonts w:ascii="Times New Roman" w:hAnsi="Times New Roman"/>
          <w:color w:val="000000"/>
          <w:sz w:val="20"/>
        </w:rPr>
        <w:t xml:space="preserve"> </w:t>
      </w:r>
      <w:r>
        <w:rPr>
          <w:rFonts w:ascii="Arial" w:hAnsi="Arial"/>
          <w:color w:val="000000"/>
          <w:sz w:val="20"/>
        </w:rPr>
        <w:t>shares of common stock, or the 2025 Follow-On Offering. The common stock and pre-funded warrants were sold in the 2025 Follow-On Offering in combination with an accompanying common stock warrant to purchase 0.25</w:t>
      </w:r>
      <w:r>
        <w:rPr>
          <w:rFonts w:ascii="Times New Roman" w:hAnsi="Times New Roman"/>
          <w:color w:val="000000"/>
          <w:sz w:val="20"/>
        </w:rPr>
        <w:t xml:space="preserve"> </w:t>
      </w:r>
      <w:r>
        <w:rPr>
          <w:rFonts w:ascii="Arial" w:hAnsi="Arial"/>
          <w:color w:val="000000"/>
          <w:sz w:val="20"/>
        </w:rPr>
        <w:t>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w:t>
      </w:r>
      <w:r>
        <w:rPr>
          <w:rFonts w:ascii="Times New Roman" w:hAnsi="Times New Roman"/>
          <w:color w:val="000000"/>
          <w:sz w:val="20"/>
        </w:rPr>
        <w:t xml:space="preserve"> </w:t>
      </w:r>
      <w:r>
        <w:rPr>
          <w:rFonts w:ascii="Arial" w:hAnsi="Arial"/>
          <w:color w:val="000000"/>
          <w:sz w:val="20"/>
        </w:rPr>
        <w:t>million in net proceeds from the 2025 Follow-On Offering after deducting underwriting discounts and commissions and offering expenses.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or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November 1, 2022, the Company filed a shelf registration statement on Form S-3, or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Open Market Sale Agreement</w:t>
      </w:r>
      <w:r>
        <w:rPr>
          <w:rFonts w:ascii="Arial" w:hAnsi="Arial"/>
          <w:color w:val="000000"/>
          <w:sz w:val="13"/>
        </w:rPr>
        <w:t>SM</w:t>
      </w:r>
      <w:r>
        <w:rPr>
          <w:rFonts w:ascii="Arial" w:hAnsi="Arial"/>
          <w:color w:val="000000"/>
          <w:sz w:val="20"/>
        </w:rPr>
        <w:t>, or Sales Agreement, with Jefferies LLC, or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2023 Follow-On Offering, on November 6, 2023, the Company delivered written notice to Jefferies that the Company was suspending and terminating the prospectus related to the shares issuable in the ATM pursuant to the terms of the Sales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27, 2024, the Company filed the 2024 Shelf, which superseded the 2022 Shelf. The 2024 Shelf included a prospectus supplement to provide for offerings in the ATM under the Sales Agreement. The Company did not issue any shares of common stock during the six months ended June 30, 2026 under the ATM, and issued 1,055,362</w:t>
      </w:r>
      <w:r>
        <w:rPr>
          <w:rFonts w:ascii="Times New Roman" w:hAnsi="Times New Roman"/>
          <w:color w:val="000000"/>
          <w:sz w:val="20"/>
        </w:rPr>
        <w:t xml:space="preserve"> </w:t>
      </w:r>
      <w:r>
        <w:rPr>
          <w:rFonts w:ascii="Arial" w:hAnsi="Arial"/>
          <w:color w:val="000000"/>
          <w:sz w:val="20"/>
        </w:rPr>
        <w:t>shares of common stock at a weighted average price of $6.36</w:t>
      </w:r>
      <w:r>
        <w:rPr>
          <w:rFonts w:ascii="Times New Roman" w:hAnsi="Times New Roman"/>
          <w:color w:val="000000"/>
          <w:sz w:val="20"/>
        </w:rPr>
        <w:t xml:space="preserve"> </w:t>
      </w:r>
      <w:r>
        <w:rPr>
          <w:rFonts w:ascii="Arial" w:hAnsi="Arial"/>
          <w:color w:val="000000"/>
          <w:sz w:val="20"/>
        </w:rPr>
        <w:t>for aggregate gross proceeds of $6.7</w:t>
      </w:r>
      <w:r>
        <w:rPr>
          <w:rFonts w:ascii="Times New Roman" w:hAnsi="Times New Roman"/>
          <w:color w:val="000000"/>
          <w:sz w:val="20"/>
        </w:rPr>
        <w:t xml:space="preserve"> </w:t>
      </w:r>
      <w:r>
        <w:rPr>
          <w:rFonts w:ascii="Arial" w:hAnsi="Arial"/>
          <w:color w:val="000000"/>
          <w:sz w:val="20"/>
        </w:rPr>
        <w:t>million during the year ended December 31, 2025 under the ATM.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connection with the 2026 Follow-On Offering, on May 4, 2026, the Company delivered written notice to Jefferies that the Company was suspending and terminating the prospectus related to the shares issuable in the ATM pursuant to the terms of the Sales Agreement. As a result, the Company will not make any sales of its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pStyle w:val="TextBody"/>
        <w:bidi w:val="0"/>
        <w:spacing w:before="240" w:after="283"/>
        <w:jc w:val="both"/>
        <w:rPr>
          <w:rFonts w:ascii="Times New Roman" w:hAnsi="Times New Roman"/>
          <w:sz w:val="20"/>
        </w:rPr>
      </w:pPr>
      <w:r>
        <w:rPr>
          <w:rFonts w:ascii="Arial" w:hAnsi="Arial"/>
          <w:color w:val="000000"/>
          <w:sz w:val="20"/>
        </w:rPr>
        <w:t>As of the issuance date of these unaudited condensed consolidated financial statements for the three and six months ended June 30, 2026, the Company expects that its cash and cash equivalents and marketable securities will be sufficient to fund its operating expenses and capital expenditure requirements through at least 12 months from the issuance of these unaudited condensed consolidated financial statements. The future viability of the Company beyond that point is dependent on its ability to raise additional capital to finance its operations.</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2. Summary of Significant Accounting Policies</w:t>
      </w:r>
    </w:p>
    <w:p>
      <w:pPr>
        <w:pStyle w:val="TextBody"/>
        <w:bidi w:val="0"/>
        <w:spacing w:before="80" w:after="283"/>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six months ended June 30, 2026 and 2025 are also unaudited. The unaudited condensed results of operations are not necessarily indicative of the operating results that may occur for the full fiscal year ending December 31, 2026.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Significant Accounting Policies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Company’s significant accounting policies are disclosed in the audited consolidated financial statements for the year ended December 31, 2025, in the Company’s Annual Report on Form 10-K filed with the SEC on March 30, 2026. There have been no changes to the Company’s significant accounting policies except as noted below.</w:t>
      </w:r>
    </w:p>
    <w:p>
      <w:pPr>
        <w:pStyle w:val="TextBody"/>
        <w:bidi w:val="0"/>
        <w:spacing w:before="80" w:after="283"/>
        <w:jc w:val="both"/>
        <w:rPr>
          <w:rFonts w:ascii="Arial" w:hAnsi="Arial"/>
          <w:b/>
          <w:i/>
          <w:color w:val="000000"/>
          <w:sz w:val="20"/>
        </w:rPr>
      </w:pPr>
      <w:r>
        <w:rPr>
          <w:rFonts w:ascii="Arial" w:hAnsi="Arial"/>
          <w:b/>
          <w:i/>
          <w:color w:val="000000"/>
          <w:sz w:val="20"/>
        </w:rPr>
        <w:t>Treasury Stock</w:t>
      </w:r>
    </w:p>
    <w:p>
      <w:pPr>
        <w:pStyle w:val="TextBody"/>
        <w:bidi w:val="0"/>
        <w:spacing w:before="80" w:after="283"/>
        <w:jc w:val="both"/>
        <w:rPr>
          <w:rFonts w:ascii="Times New Roman" w:hAnsi="Times New Roman"/>
          <w:sz w:val="20"/>
        </w:rPr>
      </w:pPr>
      <w:r>
        <w:rPr>
          <w:rFonts w:ascii="Arial" w:hAnsi="Arial"/>
          <w:color w:val="000000"/>
          <w:sz w:val="20"/>
        </w:rPr>
        <w:t>The Company records treasury stock at cost, including direct costs incurred to acquire the shares. Treasury stock is comprised of shares of common stock repurchased by the Company and not retired. Such shares are excluded from shares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outstanding for purposes of computing net loss per share. Upon any subsequent reissuance, differences between cost and reissuance proceeds are recognized in additional paid-in capital or accumulated deficit, with no effect on the condensed consolidated statements of operations and comprehensive loss</w:t>
      </w:r>
    </w:p>
    <w:p>
      <w:pPr>
        <w:pStyle w:val="TextBody"/>
        <w:bidi w:val="0"/>
        <w:spacing w:before="240" w:after="283"/>
        <w:jc w:val="both"/>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recognizes stock-based compensation expense for all stock-based awards based on their grant date fair value.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recognizes stock-based compensation expense over the requisite service period, which is generally the vesting period of the award. For awards that include performance-based vesting conditions, expense is recognized using the accelerated attribution method when the performance condition is deemed to be probable of being satisfied. The Company accounts for forfeitures as they occur. The Company determines the fair value of restricted stock unit awards in reference to the fair value of its common stock less any applicable purchase price.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fair value of each service-based stock option grant is estimated on the date of grant using a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fair value of each performance-based restricted stock unit subject to a market-based vesting condition is estimated on the date of grant using a Monte Carlo simulation model, which utilizes certain subjective assumptions, including the expected stock price volatility, the risk-free interest rate for a period corresponding to the term of the award, and the Company’s expected dividend yield.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determines the volatility for its stock-based awards granted based on an analysis of reported data for a group of guideline companies that have issued options with substantially similar terms. The expected volatility has been determined using a weighted 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using the midpoint between the vesting date and the contractual term.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pStyle w:val="TextBody"/>
        <w:bidi w:val="0"/>
        <w:spacing w:before="240" w:after="283"/>
        <w:jc w:val="both"/>
        <w:rPr>
          <w:rFonts w:ascii="Times New Roman" w:hAnsi="Times New Roman"/>
          <w:sz w:val="20"/>
        </w:rPr>
      </w:pPr>
      <w:r>
        <w:rPr>
          <w:rFonts w:ascii="Arial" w:hAnsi="Arial"/>
          <w:color w:val="000000"/>
          <w:sz w:val="20"/>
        </w:rPr>
        <w:t>The Company classifies stock-based compensation expense in its consolidated statements of operations and comprehensive loss in the same manner in which the award recipient’s cash compensation costs are classified.</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New Accounting Pronouncements Not Yet Adopted</w:t>
      </w:r>
    </w:p>
    <w:p>
      <w:pPr>
        <w:pStyle w:val="TextBody"/>
        <w:bidi w:val="0"/>
        <w:spacing w:before="80" w:after="283"/>
        <w:jc w:val="both"/>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Statement—Reporting Comprehensive Income—Expense Disaggregation Disclosures (Subtopic 220-40): Disaggregation of Income Statement Expenses</w:t>
      </w:r>
      <w:r>
        <w:rPr>
          <w:rFonts w:ascii="Arial" w:hAnsi="Arial"/>
          <w:color w:val="000000"/>
          <w:sz w:val="20"/>
        </w:rPr>
        <w:t>. The standard requires the Company to provide further disaggregated information of relevant expense captions within its consolidated statements of operations, including employee compensation and depreciation, as well as the inclusion of other specific expenses, gains and losses required by existing U.S. GAAP. The standard is effective for fiscal years beginning after December 15, 2026 and interim periods within fiscal years beginning after December 15, 2027, with early adoption permitted. The standard may be applied prospectively or retrospectively. While the standard will require additional disclosures related to certain expenses included in the consolidated statements of operations, the standard is not expected to have any impact on the Company’s consolidated operating results, financial condition or cash flows.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rFonts w:ascii="Arial" w:hAnsi="Arial"/>
          <w:b/>
          <w:color w:val="000000"/>
          <w:sz w:val="20"/>
        </w:rPr>
      </w:pPr>
      <w:r>
        <w:rPr>
          <w:rFonts w:ascii="Arial" w:hAnsi="Arial"/>
          <w:b/>
          <w:color w:val="000000"/>
          <w:sz w:val="20"/>
        </w:rPr>
        <w:t>3. Fair Value of Assets and Liabilities</w:t>
      </w:r>
    </w:p>
    <w:p>
      <w:pPr>
        <w:pStyle w:val="TextBody"/>
        <w:bidi w:val="0"/>
        <w:spacing w:before="80" w:after="283"/>
        <w:jc w:val="both"/>
        <w:rPr>
          <w:rFonts w:ascii="Times New Roman" w:hAnsi="Times New Roman"/>
          <w:sz w:val="20"/>
        </w:rPr>
      </w:pPr>
      <w:r>
        <w:rPr>
          <w:rFonts w:ascii="Arial" w:hAnsi="Arial"/>
          <w:color w:val="000000"/>
          <w:sz w:val="20"/>
        </w:rPr>
        <w:t>The following table presents information about the Company’s financial assets and liabilities measured at fair value on a recurring basis and indicates the level of the fair value hierarchy utilized to determine such fair values as of June 30, 2026 and December 31, 2025 (in thousands):</w:t>
      </w:r>
      <w:r>
        <w:rPr>
          <w:rFonts w:ascii="Times New Roman" w:hAnsi="Times New Roman"/>
          <w:color w:val="000000"/>
          <w:sz w:val="20"/>
        </w:rPr>
        <w:t xml:space="preserve"> </w:t>
      </w:r>
    </w:p>
    <w:tbl>
      <w:tblPr>
        <w:tblW w:w="9383" w:type="dxa"/>
        <w:jc w:val="left"/>
        <w:tblInd w:w="0" w:type="dxa"/>
        <w:tblLayout w:type="fixed"/>
        <w:tblCellMar>
          <w:top w:w="28" w:type="dxa"/>
          <w:left w:w="28" w:type="dxa"/>
          <w:bottom w:w="28" w:type="dxa"/>
          <w:right w:w="28" w:type="dxa"/>
        </w:tblCellMar>
      </w:tblPr>
      <w:tblGrid>
        <w:gridCol w:w="2756"/>
        <w:gridCol w:w="146"/>
        <w:gridCol w:w="211"/>
        <w:gridCol w:w="796"/>
        <w:gridCol w:w="146"/>
        <w:gridCol w:w="146"/>
        <w:gridCol w:w="382"/>
        <w:gridCol w:w="1253"/>
        <w:gridCol w:w="146"/>
        <w:gridCol w:w="146"/>
        <w:gridCol w:w="235"/>
        <w:gridCol w:w="891"/>
        <w:gridCol w:w="146"/>
        <w:gridCol w:w="146"/>
        <w:gridCol w:w="517"/>
        <w:gridCol w:w="849"/>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 in</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unobservable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pPr>
      <w:r>
        <w:rPr/>
        <w:t> </w:t>
      </w:r>
    </w:p>
    <w:tbl>
      <w:tblPr>
        <w:tblW w:w="9861" w:type="dxa"/>
        <w:jc w:val="left"/>
        <w:tblInd w:w="0" w:type="dxa"/>
        <w:tblLayout w:type="fixed"/>
        <w:tblCellMar>
          <w:top w:w="28" w:type="dxa"/>
          <w:left w:w="28" w:type="dxa"/>
          <w:bottom w:w="28" w:type="dxa"/>
          <w:right w:w="28" w:type="dxa"/>
        </w:tblCellMar>
      </w:tblPr>
      <w:tblGrid>
        <w:gridCol w:w="2876"/>
        <w:gridCol w:w="146"/>
        <w:gridCol w:w="286"/>
        <w:gridCol w:w="1079"/>
        <w:gridCol w:w="146"/>
        <w:gridCol w:w="146"/>
        <w:gridCol w:w="382"/>
        <w:gridCol w:w="1253"/>
        <w:gridCol w:w="146"/>
        <w:gridCol w:w="146"/>
        <w:gridCol w:w="263"/>
        <w:gridCol w:w="863"/>
        <w:gridCol w:w="146"/>
        <w:gridCol w:w="146"/>
        <w:gridCol w:w="517"/>
        <w:gridCol w:w="849"/>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 in</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unobservable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within the fair value hierarchy during the six months ended June 30, 2026.</w:t>
      </w:r>
    </w:p>
    <w:p>
      <w:pPr>
        <w:pStyle w:val="TextBody"/>
        <w:bidi w:val="0"/>
        <w:jc w:val="both"/>
        <w:rPr/>
      </w:pPr>
      <w:r>
        <w:rPr/>
        <w:t> </w:t>
      </w:r>
    </w:p>
    <w:p>
      <w:pPr>
        <w:pStyle w:val="TextBody"/>
        <w:bidi w:val="0"/>
        <w:spacing w:before="240" w:after="283"/>
        <w:jc w:val="left"/>
        <w:rPr>
          <w:rFonts w:ascii="Arial" w:hAnsi="Arial"/>
          <w:b/>
          <w:color w:val="000000"/>
          <w:sz w:val="20"/>
        </w:rPr>
      </w:pPr>
      <w:r>
        <w:rPr>
          <w:rFonts w:ascii="Arial" w:hAnsi="Arial"/>
          <w:b/>
          <w:color w:val="000000"/>
          <w:sz w:val="20"/>
        </w:rPr>
        <w:t>4. Property and Equipment, Net</w:t>
      </w:r>
    </w:p>
    <w:p>
      <w:pPr>
        <w:pStyle w:val="TextBody"/>
        <w:bidi w:val="0"/>
        <w:spacing w:before="80" w:after="283"/>
        <w:jc w:val="both"/>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tbl>
      <w:tblPr>
        <w:tblW w:w="5875" w:type="dxa"/>
        <w:jc w:val="left"/>
        <w:tblInd w:w="0" w:type="dxa"/>
        <w:tblLayout w:type="fixed"/>
        <w:tblCellMar>
          <w:top w:w="28" w:type="dxa"/>
          <w:left w:w="28" w:type="dxa"/>
          <w:bottom w:w="28" w:type="dxa"/>
          <w:right w:w="28" w:type="dxa"/>
        </w:tblCellMar>
      </w:tblPr>
      <w:tblGrid>
        <w:gridCol w:w="2956"/>
        <w:gridCol w:w="146"/>
        <w:gridCol w:w="218"/>
        <w:gridCol w:w="667"/>
        <w:gridCol w:w="166"/>
        <w:gridCol w:w="146"/>
        <w:gridCol w:w="336"/>
        <w:gridCol w:w="10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Depreciation expense was $0.3</w:t>
      </w:r>
      <w:r>
        <w:rPr>
          <w:rFonts w:ascii="Times New Roman" w:hAnsi="Times New Roman"/>
          <w:color w:val="000000"/>
          <w:sz w:val="20"/>
        </w:rPr>
        <w:t xml:space="preserve"> </w:t>
      </w:r>
      <w:r>
        <w:rPr>
          <w:rFonts w:ascii="Arial" w:hAnsi="Arial"/>
          <w:color w:val="000000"/>
          <w:sz w:val="20"/>
        </w:rPr>
        <w:t>million for each of the three months ended June 30, 2026 and 2025. In addition, depreciation expense was $0.5</w:t>
      </w:r>
      <w:r>
        <w:rPr>
          <w:rFonts w:ascii="Times New Roman" w:hAnsi="Times New Roman"/>
          <w:color w:val="000000"/>
          <w:sz w:val="20"/>
        </w:rPr>
        <w:t xml:space="preserve"> </w:t>
      </w:r>
      <w:r>
        <w:rPr>
          <w:rFonts w:ascii="Arial" w:hAnsi="Arial"/>
          <w:color w:val="000000"/>
          <w:sz w:val="20"/>
        </w:rPr>
        <w:t>million and $0.6</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5. Prepaid Expenses and Other Current Assets</w:t>
      </w:r>
    </w:p>
    <w:p>
      <w:pPr>
        <w:pStyle w:val="TextBody"/>
        <w:bidi w:val="0"/>
        <w:spacing w:before="80" w:after="283"/>
        <w:jc w:val="both"/>
        <w:rPr>
          <w:rFonts w:ascii="Times New Roman" w:hAnsi="Times New Roman"/>
          <w:sz w:val="20"/>
        </w:rPr>
      </w:pPr>
      <w:r>
        <w:rPr>
          <w:rFonts w:ascii="Arial" w:hAnsi="Arial"/>
          <w:color w:val="000000"/>
          <w:sz w:val="20"/>
        </w:rPr>
        <w:t>Prepaid expenses and other current assets consisted of the following (in thousands):</w:t>
      </w:r>
      <w:r>
        <w:rPr>
          <w:rFonts w:ascii="Times New Roman" w:hAnsi="Times New Roman"/>
          <w:color w:val="000000"/>
          <w:sz w:val="20"/>
        </w:rPr>
        <w:t xml:space="preserve"> </w:t>
      </w:r>
    </w:p>
    <w:tbl>
      <w:tblPr>
        <w:tblW w:w="6915" w:type="dxa"/>
        <w:jc w:val="left"/>
        <w:tblInd w:w="0" w:type="dxa"/>
        <w:tblLayout w:type="fixed"/>
        <w:tblCellMar>
          <w:top w:w="28" w:type="dxa"/>
          <w:left w:w="28" w:type="dxa"/>
          <w:bottom w:w="28" w:type="dxa"/>
          <w:right w:w="28" w:type="dxa"/>
        </w:tblCellMar>
      </w:tblPr>
      <w:tblGrid>
        <w:gridCol w:w="4036"/>
        <w:gridCol w:w="146"/>
        <w:gridCol w:w="234"/>
        <w:gridCol w:w="651"/>
        <w:gridCol w:w="146"/>
        <w:gridCol w:w="146"/>
        <w:gridCol w:w="361"/>
        <w:gridCol w:w="1004"/>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6. Marketable Securities</w:t>
      </w:r>
    </w:p>
    <w:p>
      <w:pPr>
        <w:pStyle w:val="TextBody"/>
        <w:bidi w:val="0"/>
        <w:spacing w:before="80" w:after="283"/>
        <w:jc w:val="left"/>
        <w:rPr>
          <w:rFonts w:ascii="Times New Roman" w:hAnsi="Times New Roman"/>
          <w:sz w:val="20"/>
        </w:rPr>
      </w:pPr>
      <w:r>
        <w:rPr>
          <w:rFonts w:ascii="Arial" w:hAnsi="Arial"/>
          <w:color w:val="000000"/>
          <w:sz w:val="20"/>
        </w:rPr>
        <w:t>Marketable securities consisted of the following (in thousands):</w:t>
      </w:r>
      <w:r>
        <w:rPr>
          <w:rFonts w:ascii="Times New Roman" w:hAnsi="Times New Roman"/>
          <w:color w:val="000000"/>
          <w:sz w:val="20"/>
        </w:rPr>
        <w:t xml:space="preserve"> </w:t>
      </w:r>
    </w:p>
    <w:tbl>
      <w:tblPr>
        <w:tblW w:w="9814" w:type="dxa"/>
        <w:jc w:val="left"/>
        <w:tblInd w:w="0" w:type="dxa"/>
        <w:tblLayout w:type="fixed"/>
        <w:tblCellMar>
          <w:top w:w="28" w:type="dxa"/>
          <w:left w:w="28" w:type="dxa"/>
          <w:bottom w:w="28" w:type="dxa"/>
          <w:right w:w="28" w:type="dxa"/>
        </w:tblCellMar>
      </w:tblPr>
      <w:tblGrid>
        <w:gridCol w:w="2476"/>
        <w:gridCol w:w="146"/>
        <w:gridCol w:w="323"/>
        <w:gridCol w:w="1222"/>
        <w:gridCol w:w="146"/>
        <w:gridCol w:w="146"/>
        <w:gridCol w:w="642"/>
        <w:gridCol w:w="1053"/>
        <w:gridCol w:w="146"/>
        <w:gridCol w:w="146"/>
        <w:gridCol w:w="553"/>
        <w:gridCol w:w="1262"/>
        <w:gridCol w:w="166"/>
        <w:gridCol w:w="146"/>
        <w:gridCol w:w="220"/>
        <w:gridCol w:w="830"/>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 xml:space="preserve">As of June 30, 2026, the current credit ratings of the Company's investments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 </w:t>
      </w:r>
    </w:p>
    <w:p>
      <w:pPr>
        <w:pStyle w:val="TextBody"/>
        <w:bidi w:val="0"/>
        <w:spacing w:before="240" w:after="283"/>
        <w:jc w:val="both"/>
        <w:rPr>
          <w:rFonts w:ascii="Times New Roman" w:hAnsi="Times New Roman"/>
          <w:sz w:val="20"/>
        </w:rPr>
      </w:pPr>
      <w:r>
        <w:rPr>
          <w:rFonts w:ascii="Arial" w:hAnsi="Arial"/>
          <w:color w:val="000000"/>
          <w:sz w:val="20"/>
        </w:rPr>
        <w:t>As of June 30, 2026, ten</w:t>
      </w:r>
      <w:r>
        <w:rPr>
          <w:rFonts w:ascii="Times New Roman" w:hAnsi="Times New Roman"/>
          <w:color w:val="000000"/>
          <w:sz w:val="20"/>
        </w:rPr>
        <w:t xml:space="preserve"> </w:t>
      </w:r>
      <w:r>
        <w:rPr>
          <w:rFonts w:ascii="Arial" w:hAnsi="Arial"/>
          <w:color w:val="000000"/>
          <w:sz w:val="20"/>
        </w:rPr>
        <w:t>marketable securities with a contractual maturity of one year or less were in an unrealized loss position totaling $0.1</w:t>
      </w:r>
      <w:r>
        <w:rPr>
          <w:rFonts w:ascii="Times New Roman" w:hAnsi="Times New Roman"/>
          <w:color w:val="000000"/>
          <w:sz w:val="20"/>
        </w:rPr>
        <w:t xml:space="preserve"> </w:t>
      </w:r>
      <w:r>
        <w:rPr>
          <w:rFonts w:ascii="Arial" w:hAnsi="Arial"/>
          <w:color w:val="000000"/>
          <w:sz w:val="20"/>
        </w:rPr>
        <w:t>million. In addition, nine</w:t>
      </w:r>
      <w:r>
        <w:rPr>
          <w:rFonts w:ascii="Times New Roman" w:hAnsi="Times New Roman"/>
          <w:color w:val="000000"/>
          <w:sz w:val="20"/>
        </w:rPr>
        <w:t xml:space="preserve"> </w:t>
      </w:r>
      <w:r>
        <w:rPr>
          <w:rFonts w:ascii="Arial" w:hAnsi="Arial"/>
          <w:color w:val="000000"/>
          <w:sz w:val="20"/>
        </w:rPr>
        <w:t>marketable securities with a contractual maturity between one and two years were in an unrealized loss position totaling $0.2</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both"/>
        <w:rPr>
          <w:rFonts w:ascii="Times New Roman" w:hAnsi="Times New Roman"/>
          <w:sz w:val="20"/>
        </w:rPr>
      </w:pPr>
      <w:r>
        <w:rPr>
          <w:rFonts w:ascii="Arial" w:hAnsi="Arial"/>
          <w:color w:val="000000"/>
          <w:sz w:val="20"/>
        </w:rPr>
        <w:t>As of June 30, 2025, one</w:t>
      </w:r>
      <w:r>
        <w:rPr>
          <w:rFonts w:ascii="Times New Roman" w:hAnsi="Times New Roman"/>
          <w:color w:val="000000"/>
          <w:sz w:val="20"/>
        </w:rPr>
        <w:t xml:space="preserve"> </w:t>
      </w:r>
      <w:r>
        <w:rPr>
          <w:rFonts w:ascii="Arial" w:hAnsi="Arial"/>
          <w:color w:val="000000"/>
          <w:sz w:val="20"/>
        </w:rPr>
        <w:t>marketable security with contractual maturity of one year or less was in an unrealized loss position totaling $0.01</w:t>
      </w:r>
      <w:r>
        <w:rPr>
          <w:rFonts w:ascii="Times New Roman" w:hAnsi="Times New Roman"/>
          <w:color w:val="000000"/>
          <w:sz w:val="20"/>
        </w:rPr>
        <w:t xml:space="preserve"> </w:t>
      </w:r>
      <w:r>
        <w:rPr>
          <w:rFonts w:ascii="Arial" w:hAnsi="Arial"/>
          <w:color w:val="000000"/>
          <w:sz w:val="20"/>
        </w:rPr>
        <w:t>million, and all marketable securities held by the Company had remaining contractual maturities of one year or less.</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the Company’s marketable securities measured and carried at fair value during the six months ended June 30, 2026 and 2025.</w:t>
      </w:r>
    </w:p>
    <w:p>
      <w:pPr>
        <w:pStyle w:val="TextBody"/>
        <w:bidi w:val="0"/>
        <w:spacing w:before="80" w:after="283"/>
        <w:jc w:val="both"/>
        <w:rPr/>
      </w:pPr>
      <w:r>
        <w:rPr/>
        <w:t> </w:t>
      </w:r>
    </w:p>
    <w:p>
      <w:pPr>
        <w:pStyle w:val="TextBody"/>
        <w:bidi w:val="0"/>
        <w:spacing w:before="240" w:after="283"/>
        <w:jc w:val="left"/>
        <w:rPr>
          <w:rFonts w:ascii="Arial" w:hAnsi="Arial"/>
          <w:b/>
          <w:color w:val="000000"/>
          <w:sz w:val="20"/>
        </w:rPr>
      </w:pPr>
      <w:r>
        <w:rPr>
          <w:rFonts w:ascii="Arial" w:hAnsi="Arial"/>
          <w:b/>
          <w:color w:val="000000"/>
          <w:sz w:val="20"/>
        </w:rPr>
        <w:t>7. Accrued Expenses and Other Current Liabilities</w:t>
      </w:r>
    </w:p>
    <w:p>
      <w:pPr>
        <w:pStyle w:val="TextBody"/>
        <w:bidi w:val="0"/>
        <w:spacing w:before="80" w:after="283"/>
        <w:jc w:val="both"/>
        <w:rPr>
          <w:rFonts w:ascii="Times New Roman" w:hAnsi="Times New Roman"/>
          <w:sz w:val="20"/>
        </w:rPr>
      </w:pPr>
      <w:r>
        <w:rPr>
          <w:rFonts w:ascii="Arial" w:hAnsi="Arial"/>
          <w:color w:val="000000"/>
          <w:sz w:val="20"/>
        </w:rPr>
        <w:t>Accrued expenses and other current liabilities consisted of the following (in thousands):</w:t>
      </w:r>
      <w:r>
        <w:rPr>
          <w:rFonts w:ascii="Times New Roman" w:hAnsi="Times New Roman"/>
          <w:color w:val="000000"/>
          <w:sz w:val="20"/>
        </w:rPr>
        <w:t xml:space="preserve"> </w:t>
      </w:r>
    </w:p>
    <w:tbl>
      <w:tblPr>
        <w:tblW w:w="6992" w:type="dxa"/>
        <w:jc w:val="left"/>
        <w:tblInd w:w="0" w:type="dxa"/>
        <w:tblLayout w:type="fixed"/>
        <w:tblCellMar>
          <w:top w:w="28" w:type="dxa"/>
          <w:left w:w="28" w:type="dxa"/>
          <w:bottom w:w="28" w:type="dxa"/>
          <w:right w:w="28" w:type="dxa"/>
        </w:tblCellMar>
      </w:tblPr>
      <w:tblGrid>
        <w:gridCol w:w="4096"/>
        <w:gridCol w:w="146"/>
        <w:gridCol w:w="211"/>
        <w:gridCol w:w="691"/>
        <w:gridCol w:w="146"/>
        <w:gridCol w:w="146"/>
        <w:gridCol w:w="319"/>
        <w:gridCol w:w="104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8. Stockholders' Equity</w:t>
      </w:r>
    </w:p>
    <w:p>
      <w:pPr>
        <w:pStyle w:val="TextBody"/>
        <w:bidi w:val="0"/>
        <w:spacing w:before="80" w:after="283"/>
        <w:jc w:val="both"/>
        <w:rPr>
          <w:rFonts w:ascii="Times New Roman" w:hAnsi="Times New Roman"/>
          <w:sz w:val="20"/>
        </w:rPr>
      </w:pPr>
      <w:r>
        <w:rPr>
          <w:rFonts w:ascii="Arial" w:hAnsi="Arial"/>
          <w:color w:val="000000"/>
          <w:sz w:val="20"/>
        </w:rPr>
        <w:t>The Company had 150,000,000</w:t>
      </w:r>
      <w:r>
        <w:rPr>
          <w:rFonts w:ascii="Times New Roman" w:hAnsi="Times New Roman"/>
          <w:color w:val="000000"/>
          <w:sz w:val="20"/>
        </w:rPr>
        <w:t xml:space="preserve"> </w:t>
      </w:r>
      <w:r>
        <w:rPr>
          <w:rFonts w:ascii="Arial" w:hAnsi="Arial"/>
          <w:color w:val="000000"/>
          <w:sz w:val="20"/>
        </w:rPr>
        <w:t>authorized shares of common stock, par value $0.00001</w:t>
      </w:r>
      <w:r>
        <w:rPr>
          <w:rFonts w:ascii="Times New Roman" w:hAnsi="Times New Roman"/>
          <w:color w:val="000000"/>
          <w:sz w:val="20"/>
        </w:rPr>
        <w:t xml:space="preserve"> </w:t>
      </w:r>
      <w:r>
        <w:rPr>
          <w:rFonts w:ascii="Arial" w:hAnsi="Arial"/>
          <w:color w:val="000000"/>
          <w:sz w:val="20"/>
        </w:rPr>
        <w:t>per share, of which 103,480,053</w:t>
      </w:r>
      <w:r>
        <w:rPr>
          <w:rFonts w:ascii="Times New Roman" w:hAnsi="Times New Roman"/>
          <w:color w:val="000000"/>
          <w:sz w:val="20"/>
        </w:rPr>
        <w:t xml:space="preserve"> </w:t>
      </w:r>
      <w:r>
        <w:rPr>
          <w:rFonts w:ascii="Arial" w:hAnsi="Arial"/>
          <w:color w:val="000000"/>
          <w:sz w:val="20"/>
        </w:rPr>
        <w:t>and 63,587,777</w:t>
      </w:r>
      <w:r>
        <w:rPr>
          <w:rFonts w:ascii="Times New Roman" w:hAnsi="Times New Roman"/>
          <w:color w:val="000000"/>
          <w:sz w:val="20"/>
        </w:rPr>
        <w:t xml:space="preserve"> </w:t>
      </w:r>
      <w:r>
        <w:rPr>
          <w:rFonts w:ascii="Arial" w:hAnsi="Arial"/>
          <w:color w:val="000000"/>
          <w:sz w:val="20"/>
        </w:rPr>
        <w:t>shares were issued and outstanding at June 30, 2026 and December 31, 2025,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Company had 10,000,000</w:t>
      </w:r>
      <w:r>
        <w:rPr>
          <w:rFonts w:ascii="Times New Roman" w:hAnsi="Times New Roman"/>
          <w:color w:val="000000"/>
          <w:sz w:val="20"/>
        </w:rPr>
        <w:t xml:space="preserve"> </w:t>
      </w:r>
      <w:r>
        <w:rPr>
          <w:rFonts w:ascii="Arial" w:hAnsi="Arial"/>
          <w:color w:val="000000"/>
          <w:sz w:val="20"/>
        </w:rPr>
        <w:t>authorized shares of preferred stock, par value $0.00001</w:t>
      </w:r>
      <w:r>
        <w:rPr>
          <w:rFonts w:ascii="Times New Roman" w:hAnsi="Times New Roman"/>
          <w:color w:val="000000"/>
          <w:sz w:val="20"/>
        </w:rPr>
        <w:t xml:space="preserve"> </w:t>
      </w:r>
      <w:r>
        <w:rPr>
          <w:rFonts w:ascii="Arial" w:hAnsi="Arial"/>
          <w:color w:val="000000"/>
          <w:sz w:val="20"/>
        </w:rPr>
        <w:t>per share, all of which shares of preferred stock are undesignated. No</w:t>
      </w:r>
      <w:r>
        <w:rPr>
          <w:rFonts w:ascii="Times New Roman" w:hAnsi="Times New Roman"/>
          <w:color w:val="000000"/>
          <w:sz w:val="20"/>
        </w:rPr>
        <w:t xml:space="preserve"> </w:t>
      </w:r>
      <w:r>
        <w:rPr>
          <w:rFonts w:ascii="Arial" w:hAnsi="Arial"/>
          <w:color w:val="000000"/>
          <w:sz w:val="20"/>
        </w:rPr>
        <w:t>authorized shares of preferred stock were issued and outstanding at June 30, 2026 and December 31, 2025.</w:t>
      </w:r>
    </w:p>
    <w:p>
      <w:pPr>
        <w:pStyle w:val="TextBody"/>
        <w:bidi w:val="0"/>
        <w:spacing w:before="240" w:after="283"/>
        <w:jc w:val="both"/>
        <w:rPr>
          <w:rFonts w:ascii="Times New Roman" w:hAnsi="Times New Roman"/>
          <w:sz w:val="20"/>
        </w:rPr>
      </w:pPr>
      <w:r>
        <w:rPr>
          <w:rFonts w:ascii="Arial" w:hAnsi="Arial"/>
          <w:color w:val="000000"/>
          <w:sz w:val="20"/>
        </w:rPr>
        <w:t>The Company records treasury stock at cost. Treasury stock is comprised of shares of common stock repurchased by the Company and not retired. The Company held 6,922,870</w:t>
      </w:r>
      <w:r>
        <w:rPr>
          <w:rFonts w:ascii="Times New Roman" w:hAnsi="Times New Roman"/>
          <w:color w:val="000000"/>
          <w:sz w:val="20"/>
        </w:rPr>
        <w:t xml:space="preserve"> </w:t>
      </w:r>
      <w:r>
        <w:rPr>
          <w:rFonts w:ascii="Arial" w:hAnsi="Arial"/>
          <w:color w:val="000000"/>
          <w:sz w:val="20"/>
        </w:rPr>
        <w:t>shares of treasury stock at a cost of $39.1</w:t>
      </w:r>
      <w:r>
        <w:rPr>
          <w:rFonts w:ascii="Times New Roman" w:hAnsi="Times New Roman"/>
          <w:color w:val="000000"/>
          <w:sz w:val="20"/>
        </w:rPr>
        <w:t xml:space="preserve"> </w:t>
      </w:r>
      <w:r>
        <w:rPr>
          <w:rFonts w:ascii="Arial" w:hAnsi="Arial"/>
          <w:color w:val="000000"/>
          <w:sz w:val="20"/>
        </w:rPr>
        <w:t>million at June 30, 2026 and held no</w:t>
      </w:r>
      <w:r>
        <w:rPr>
          <w:rFonts w:ascii="Times New Roman" w:hAnsi="Times New Roman"/>
          <w:color w:val="000000"/>
          <w:sz w:val="20"/>
        </w:rPr>
        <w:t xml:space="preserve"> </w:t>
      </w:r>
      <w:r>
        <w:rPr>
          <w:rFonts w:ascii="Arial" w:hAnsi="Arial"/>
          <w:color w:val="000000"/>
          <w:sz w:val="20"/>
        </w:rPr>
        <w:t>shares of treasury stock at December 31, 2025.</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Financings</w:t>
      </w:r>
    </w:p>
    <w:p>
      <w:pPr>
        <w:pStyle w:val="TextBody"/>
        <w:bidi w:val="0"/>
        <w:spacing w:before="80" w:after="283"/>
        <w:jc w:val="both"/>
        <w:rPr>
          <w:rFonts w:ascii="Times New Roman" w:hAnsi="Times New Roman"/>
          <w:sz w:val="20"/>
        </w:rPr>
      </w:pPr>
      <w:r>
        <w:rPr>
          <w:rFonts w:ascii="Arial" w:hAnsi="Arial"/>
          <w:color w:val="000000"/>
          <w:sz w:val="20"/>
        </w:rPr>
        <w:t>On May 5, 2026, the Company issued and sold (i) 46,099,650</w:t>
      </w:r>
      <w:r>
        <w:rPr>
          <w:rFonts w:ascii="Times New Roman" w:hAnsi="Times New Roman"/>
          <w:color w:val="000000"/>
          <w:sz w:val="20"/>
        </w:rPr>
        <w:t xml:space="preserve"> </w:t>
      </w:r>
      <w:r>
        <w:rPr>
          <w:rFonts w:ascii="Arial" w:hAnsi="Arial"/>
          <w:color w:val="000000"/>
          <w:sz w:val="20"/>
        </w:rPr>
        <w:t>shares of common stock, which includes 6,508,650</w:t>
      </w:r>
      <w:r>
        <w:rPr>
          <w:rFonts w:ascii="Times New Roman" w:hAnsi="Times New Roman"/>
          <w:color w:val="000000"/>
          <w:sz w:val="20"/>
        </w:rPr>
        <w:t xml:space="preserve"> </w:t>
      </w:r>
      <w:r>
        <w:rPr>
          <w:rFonts w:ascii="Arial" w:hAnsi="Arial"/>
          <w:color w:val="000000"/>
          <w:sz w:val="20"/>
        </w:rPr>
        <w:t>shares sold upon the underwriters’ exercise in full of their option to purchase additional shares of common stock on May 4, 2026, and (ii) in lieu of common stock to certain investors, pre-funded warrants to purchase an aggregate of up to 3,800,000</w:t>
      </w:r>
      <w:r>
        <w:rPr>
          <w:rFonts w:ascii="Times New Roman" w:hAnsi="Times New Roman"/>
          <w:color w:val="000000"/>
          <w:sz w:val="20"/>
        </w:rPr>
        <w:t xml:space="preserve"> </w:t>
      </w:r>
      <w:r>
        <w:rPr>
          <w:rFonts w:ascii="Arial" w:hAnsi="Arial"/>
          <w:color w:val="000000"/>
          <w:sz w:val="20"/>
        </w:rPr>
        <w:t>shares of its common stock in the 2026 Follow-On Offering. Each such share of common stock was sold at a price to the public of $6.00</w:t>
      </w:r>
      <w:r>
        <w:rPr>
          <w:rFonts w:ascii="Times New Roman" w:hAnsi="Times New Roman"/>
          <w:color w:val="000000"/>
          <w:sz w:val="20"/>
        </w:rPr>
        <w:t xml:space="preserve"> </w:t>
      </w:r>
      <w:r>
        <w:rPr>
          <w:rFonts w:ascii="Arial" w:hAnsi="Arial"/>
          <w:color w:val="000000"/>
          <w:sz w:val="20"/>
        </w:rPr>
        <w:t>per share and each such pre-funded warrant was offered and sold at a price to the public of $5.99999</w:t>
      </w:r>
      <w:r>
        <w:rPr>
          <w:rFonts w:ascii="Times New Roman" w:hAnsi="Times New Roman"/>
          <w:color w:val="000000"/>
          <w:sz w:val="20"/>
        </w:rPr>
        <w:t xml:space="preserve"> </w:t>
      </w:r>
      <w:r>
        <w:rPr>
          <w:rFonts w:ascii="Arial" w:hAnsi="Arial"/>
          <w:color w:val="000000"/>
          <w:sz w:val="20"/>
        </w:rPr>
        <w:t>per pre-funded warrant. The Company received approximately $280.8</w:t>
      </w:r>
      <w:r>
        <w:rPr>
          <w:rFonts w:ascii="Times New Roman" w:hAnsi="Times New Roman"/>
          <w:color w:val="000000"/>
          <w:sz w:val="20"/>
        </w:rPr>
        <w:t xml:space="preserve"> </w:t>
      </w:r>
      <w:r>
        <w:rPr>
          <w:rFonts w:ascii="Arial" w:hAnsi="Arial"/>
          <w:color w:val="000000"/>
          <w:sz w:val="20"/>
        </w:rPr>
        <w:t>million in net proceeds from the 2026 Follow-On Offering, after deducting underwriting discounts and commissions and offering expenses, of which approximately $39.0</w:t>
      </w:r>
      <w:r>
        <w:rPr>
          <w:rFonts w:ascii="Times New Roman" w:hAnsi="Times New Roman"/>
          <w:color w:val="000000"/>
          <w:sz w:val="20"/>
        </w:rPr>
        <w:t xml:space="preserve"> </w:t>
      </w:r>
      <w:r>
        <w:rPr>
          <w:rFonts w:ascii="Arial" w:hAnsi="Arial"/>
          <w:color w:val="000000"/>
          <w:sz w:val="20"/>
        </w:rPr>
        <w:t>million were used by the Company to repurchase 6,922,870</w:t>
      </w:r>
      <w:r>
        <w:rPr>
          <w:rFonts w:ascii="Times New Roman" w:hAnsi="Times New Roman"/>
          <w:color w:val="000000"/>
          <w:sz w:val="20"/>
        </w:rPr>
        <w:t xml:space="preserve"> </w:t>
      </w:r>
      <w:r>
        <w:rPr>
          <w:rFonts w:ascii="Arial" w:hAnsi="Arial"/>
          <w:color w:val="000000"/>
          <w:sz w:val="20"/>
        </w:rPr>
        <w:t>shares of common stock from Matrix Capital Management Master Fund, LP, or Matrix, at a price per share of $5.64, on May 7, 2026, or the Matrix Repurchase.</w:t>
      </w:r>
    </w:p>
    <w:p>
      <w:pPr>
        <w:pStyle w:val="TextBody"/>
        <w:bidi w:val="0"/>
        <w:spacing w:before="240" w:after="283"/>
        <w:jc w:val="both"/>
        <w:rPr>
          <w:rFonts w:ascii="Times New Roman" w:hAnsi="Times New Roman"/>
          <w:sz w:val="20"/>
        </w:rPr>
      </w:pPr>
      <w:r>
        <w:rPr>
          <w:rFonts w:ascii="Arial" w:hAnsi="Arial"/>
          <w:color w:val="000000"/>
          <w:sz w:val="20"/>
        </w:rPr>
        <w:t>On May 16, 2025, the Company issued and sold 11,735,565</w:t>
      </w:r>
      <w:r>
        <w:rPr>
          <w:rFonts w:ascii="Times New Roman" w:hAnsi="Times New Roman"/>
          <w:color w:val="000000"/>
          <w:sz w:val="20"/>
        </w:rPr>
        <w:t xml:space="preserve"> </w:t>
      </w:r>
      <w:r>
        <w:rPr>
          <w:rFonts w:ascii="Arial" w:hAnsi="Arial"/>
          <w:color w:val="000000"/>
          <w:sz w:val="20"/>
        </w:rPr>
        <w:t>shares of common stock, pre-funded warrants to purchase up to 3,571,435</w:t>
      </w:r>
      <w:r>
        <w:rPr>
          <w:rFonts w:ascii="Times New Roman" w:hAnsi="Times New Roman"/>
          <w:color w:val="000000"/>
          <w:sz w:val="20"/>
        </w:rPr>
        <w:t xml:space="preserve"> </w:t>
      </w:r>
      <w:r>
        <w:rPr>
          <w:rFonts w:ascii="Arial" w:hAnsi="Arial"/>
          <w:color w:val="000000"/>
          <w:sz w:val="20"/>
        </w:rPr>
        <w:t>shares of common stock, and accompanying warrants to purchase an aggregate of 3,826,750</w:t>
      </w:r>
      <w:r>
        <w:rPr>
          <w:rFonts w:ascii="Times New Roman" w:hAnsi="Times New Roman"/>
          <w:color w:val="000000"/>
          <w:sz w:val="20"/>
        </w:rPr>
        <w:t xml:space="preserve"> </w:t>
      </w:r>
      <w:r>
        <w:rPr>
          <w:rFonts w:ascii="Arial" w:hAnsi="Arial"/>
          <w:color w:val="000000"/>
          <w:sz w:val="20"/>
        </w:rPr>
        <w:t>shares of common stock. The common stock and pre-funded warrants were sold in the 2025 Follow-On Offering in combination with an accompanying common stock warrant to purchase 0.25</w:t>
      </w:r>
      <w:r>
        <w:rPr>
          <w:rFonts w:ascii="Times New Roman" w:hAnsi="Times New Roman"/>
          <w:color w:val="000000"/>
          <w:sz w:val="20"/>
        </w:rPr>
        <w:t xml:space="preserve"> </w:t>
      </w:r>
      <w:r>
        <w:rPr>
          <w:rFonts w:ascii="Arial" w:hAnsi="Arial"/>
          <w:color w:val="000000"/>
          <w:sz w:val="20"/>
        </w:rPr>
        <w:t>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w:t>
      </w:r>
      <w:r>
        <w:rPr>
          <w:rFonts w:ascii="Times New Roman" w:hAnsi="Times New Roman"/>
          <w:color w:val="000000"/>
          <w:sz w:val="20"/>
        </w:rPr>
        <w:t xml:space="preserve"> </w:t>
      </w:r>
      <w:r>
        <w:rPr>
          <w:rFonts w:ascii="Arial" w:hAnsi="Arial"/>
          <w:color w:val="000000"/>
          <w:sz w:val="20"/>
        </w:rPr>
        <w:t>million in net proceeds from the 2025 Follow-On Offering after deducting underwriting discounts and commissions and offering expenses.</w:t>
      </w:r>
    </w:p>
    <w:p>
      <w:pPr>
        <w:pStyle w:val="TextBody"/>
        <w:bidi w:val="0"/>
        <w:spacing w:before="240" w:after="283"/>
        <w:jc w:val="both"/>
        <w:rPr>
          <w:rFonts w:ascii="Times New Roman" w:hAnsi="Times New Roman"/>
          <w:sz w:val="20"/>
        </w:rPr>
      </w:pPr>
      <w:r>
        <w:rPr>
          <w:rFonts w:ascii="Arial" w:hAnsi="Arial"/>
          <w:color w:val="000000"/>
          <w:sz w:val="20"/>
        </w:rPr>
        <w:t>On March 27, 2024, the Company filed the 2024 Shelf with the SEC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superseded the 2022 Shelf. The 2024 Shelf included a prospectus supplement to provide for offerings in the ATM under the Sales Agreement. The Company did not issue any shares of common stock during the six months ended June 30, 2026</w:t>
      </w:r>
      <w:r>
        <w:rPr>
          <w:rFonts w:ascii="Times New Roman" w:hAnsi="Times New Roman"/>
          <w:color w:val="000000"/>
          <w:sz w:val="20"/>
        </w:rPr>
        <w:t xml:space="preserve"> </w:t>
      </w:r>
      <w:r>
        <w:rPr>
          <w:rFonts w:ascii="Arial" w:hAnsi="Arial"/>
          <w:color w:val="000000"/>
          <w:sz w:val="20"/>
        </w:rPr>
        <w:t>under the ATM, and issued 1,055,362</w:t>
      </w:r>
      <w:r>
        <w:rPr>
          <w:rFonts w:ascii="Times New Roman" w:hAnsi="Times New Roman"/>
          <w:color w:val="000000"/>
          <w:sz w:val="20"/>
        </w:rPr>
        <w:t xml:space="preserve"> </w:t>
      </w:r>
      <w:r>
        <w:rPr>
          <w:rFonts w:ascii="Arial" w:hAnsi="Arial"/>
          <w:color w:val="000000"/>
          <w:sz w:val="20"/>
        </w:rPr>
        <w:t>shares of common stock at a weighted average price of $6.36</w:t>
      </w:r>
      <w:r>
        <w:rPr>
          <w:rFonts w:ascii="Times New Roman" w:hAnsi="Times New Roman"/>
          <w:color w:val="000000"/>
          <w:sz w:val="20"/>
        </w:rPr>
        <w:t xml:space="preserve"> </w:t>
      </w:r>
      <w:r>
        <w:rPr>
          <w:rFonts w:ascii="Arial" w:hAnsi="Arial"/>
          <w:color w:val="000000"/>
          <w:sz w:val="20"/>
        </w:rPr>
        <w:t>for aggregate gross proceeds of $6.7</w:t>
      </w:r>
      <w:r>
        <w:rPr>
          <w:rFonts w:ascii="Times New Roman" w:hAnsi="Times New Roman"/>
          <w:color w:val="000000"/>
          <w:sz w:val="20"/>
        </w:rPr>
        <w:t xml:space="preserve"> </w:t>
      </w:r>
      <w:r>
        <w:rPr>
          <w:rFonts w:ascii="Arial" w:hAnsi="Arial"/>
          <w:color w:val="000000"/>
          <w:sz w:val="20"/>
        </w:rPr>
        <w:t>million during the year ended December 31, 2025 under the ATM.</w:t>
      </w:r>
    </w:p>
    <w:p>
      <w:pPr>
        <w:pStyle w:val="TextBody"/>
        <w:bidi w:val="0"/>
        <w:spacing w:before="240" w:after="283"/>
        <w:jc w:val="both"/>
        <w:rPr>
          <w:rFonts w:ascii="Times New Roman" w:hAnsi="Times New Roman"/>
          <w:sz w:val="20"/>
        </w:rPr>
      </w:pPr>
      <w:r>
        <w:rPr>
          <w:rFonts w:ascii="Arial" w:hAnsi="Arial"/>
          <w:color w:val="000000"/>
          <w:sz w:val="20"/>
        </w:rPr>
        <w:t>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in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w:t>
      </w:r>
    </w:p>
    <w:p>
      <w:pPr>
        <w:pStyle w:val="TextBody"/>
        <w:bidi w:val="0"/>
        <w:spacing w:before="240" w:after="283"/>
        <w:jc w:val="both"/>
        <w:rPr>
          <w:rFonts w:ascii="Times New Roman" w:hAnsi="Times New Roman"/>
          <w:sz w:val="20"/>
        </w:rPr>
      </w:pPr>
      <w:r>
        <w:rPr>
          <w:rFonts w:ascii="Arial" w:hAnsi="Arial"/>
          <w:color w:val="000000"/>
          <w:sz w:val="20"/>
        </w:rPr>
        <w:t>On November 1, 2022, the Company filed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Sales Agreement with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The Company issued 261,807</w:t>
      </w:r>
      <w:r>
        <w:rPr>
          <w:rFonts w:ascii="Times New Roman" w:hAnsi="Times New Roman"/>
          <w:color w:val="000000"/>
          <w:sz w:val="20"/>
        </w:rPr>
        <w:t xml:space="preserve"> </w:t>
      </w:r>
      <w:r>
        <w:rPr>
          <w:rFonts w:ascii="Arial" w:hAnsi="Arial"/>
          <w:color w:val="000000"/>
          <w:sz w:val="20"/>
        </w:rPr>
        <w:t>shares of common stock at a weighted average price of $12.49</w:t>
      </w:r>
      <w:r>
        <w:rPr>
          <w:rFonts w:ascii="Times New Roman" w:hAnsi="Times New Roman"/>
          <w:color w:val="000000"/>
          <w:sz w:val="20"/>
        </w:rPr>
        <w:t xml:space="preserve"> </w:t>
      </w:r>
      <w:r>
        <w:rPr>
          <w:rFonts w:ascii="Arial" w:hAnsi="Arial"/>
          <w:color w:val="000000"/>
          <w:sz w:val="20"/>
        </w:rPr>
        <w:t>for aggregate gross proceeds of $3.3</w:t>
      </w:r>
      <w:r>
        <w:rPr>
          <w:rFonts w:ascii="Times New Roman" w:hAnsi="Times New Roman"/>
          <w:color w:val="000000"/>
          <w:sz w:val="20"/>
        </w:rPr>
        <w:t xml:space="preserve"> </w:t>
      </w:r>
      <w:r>
        <w:rPr>
          <w:rFonts w:ascii="Arial" w:hAnsi="Arial"/>
          <w:color w:val="000000"/>
          <w:sz w:val="20"/>
        </w:rPr>
        <w:t>million during the year ended December 31, 2023 under the ATM.</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9. Stock-Based Compensation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2018 Stock Option and Incentive Plan</w:t>
      </w:r>
    </w:p>
    <w:p>
      <w:pPr>
        <w:pStyle w:val="TextBody"/>
        <w:bidi w:val="0"/>
        <w:jc w:val="both"/>
        <w:rPr>
          <w:rFonts w:ascii="Arial" w:hAnsi="Arial"/>
          <w:color w:val="000000"/>
          <w:sz w:val="20"/>
        </w:rPr>
      </w:pPr>
      <w:r>
        <w:rPr>
          <w:rFonts w:ascii="Arial" w:hAnsi="Arial"/>
          <w:color w:val="000000"/>
          <w:sz w:val="20"/>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2021 Stock Option and Incentive Plan</w:t>
      </w:r>
    </w:p>
    <w:p>
      <w:pPr>
        <w:pStyle w:val="TextBody"/>
        <w:bidi w:val="0"/>
        <w:jc w:val="both"/>
        <w:rPr>
          <w:rFonts w:ascii="Times New Roman" w:hAnsi="Times New Roman"/>
          <w:sz w:val="20"/>
        </w:rPr>
      </w:pPr>
      <w:r>
        <w:rPr>
          <w:rFonts w:ascii="Arial" w:hAnsi="Arial"/>
          <w:color w:val="000000"/>
          <w:sz w:val="20"/>
        </w:rPr>
        <w:t>The 2021 Stock Option and Incentive Plan, or the 2021 Plan, was adopted by the Board on October 7, 2021, approved by the Company’s stockholders on October 22, 2021 and became effective on November 1, 2021. The 2021 Plan permits the granting of several award types, including restricted stock units and both options to purchase common stock intended to qualify as incentive stock options under Section 422 of the United States Internal Revenue Code, or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w:t>
      </w:r>
      <w:r>
        <w:rPr>
          <w:rFonts w:ascii="Times New Roman" w:hAnsi="Times New Roman"/>
          <w:color w:val="000000"/>
          <w:sz w:val="20"/>
        </w:rPr>
        <w:t xml:space="preserve"> </w:t>
      </w:r>
      <w:r>
        <w:rPr>
          <w:rFonts w:ascii="Arial" w:hAnsi="Arial"/>
          <w:color w:val="000000"/>
          <w:sz w:val="20"/>
        </w:rPr>
        <w:t>shares of common stock. On January 1, 2026, the shares reserved for issuance was increased to 14,328,694</w:t>
      </w:r>
      <w:r>
        <w:rPr>
          <w:rFonts w:ascii="Times New Roman" w:hAnsi="Times New Roman"/>
          <w:color w:val="000000"/>
          <w:sz w:val="20"/>
        </w:rPr>
        <w:t xml:space="preserve"> </w:t>
      </w:r>
      <w:r>
        <w:rPr>
          <w:rFonts w:ascii="Arial" w:hAnsi="Arial"/>
          <w:color w:val="000000"/>
          <w:sz w:val="20"/>
        </w:rPr>
        <w:t>shares. With the transfer of shares to the 2021 Plan in connection with the termination or expiration of awards under the 2018 Plan, together with shares otherwise available under the 2021 Plan, there were 4,493,172</w:t>
      </w:r>
      <w:r>
        <w:rPr>
          <w:rFonts w:ascii="Times New Roman" w:hAnsi="Times New Roman"/>
          <w:color w:val="000000"/>
          <w:sz w:val="20"/>
        </w:rPr>
        <w:t xml:space="preserve"> </w:t>
      </w:r>
      <w:r>
        <w:rPr>
          <w:rFonts w:ascii="Arial" w:hAnsi="Arial"/>
          <w:color w:val="000000"/>
          <w:sz w:val="20"/>
        </w:rPr>
        <w:t>shares available for grant under the 2021 Plan at June 30, 2026.</w:t>
      </w:r>
    </w:p>
    <w:p>
      <w:pPr>
        <w:pStyle w:val="TextBody"/>
        <w:bidi w:val="0"/>
        <w:jc w:val="both"/>
        <w:rPr/>
      </w:pPr>
      <w:r>
        <w:rPr/>
        <w:t> </w:t>
      </w:r>
    </w:p>
    <w:p>
      <w:pPr>
        <w:pStyle w:val="TextBody"/>
        <w:bidi w:val="0"/>
        <w:jc w:val="left"/>
        <w:rPr>
          <w:rFonts w:ascii="Arial" w:hAnsi="Arial"/>
          <w:b/>
          <w:color w:val="000000"/>
          <w:sz w:val="20"/>
        </w:rPr>
      </w:pPr>
      <w:r>
        <w:rPr>
          <w:rFonts w:ascii="Arial" w:hAnsi="Arial"/>
          <w:b/>
          <w:color w:val="000000"/>
          <w:sz w:val="20"/>
        </w:rPr>
        <w:t>Inducement Award Plan</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Inducement Award Plan, or the Plan, was adopted by the Board on April 29, 2026, and became effective on May 19, 2026. The Plan covers the award of an option to purchase shares of common stock of the Company and restricted stock unit awards, in each case, issued outside of the 2021 Plan. The shares covered by the Plan do not reduce the share reserve under the 2021 Plan. However, the terms and conditions of the 2021 Plan (other than those applicable to the share reserve) govern and apply to the Plan. The Plan is between the Company and Natalie Holles, CEO, and includes (i) an option to purchase 2,169,103</w:t>
      </w:r>
      <w:r>
        <w:rPr>
          <w:rFonts w:ascii="Times New Roman" w:hAnsi="Times New Roman"/>
          <w:color w:val="000000"/>
          <w:sz w:val="20"/>
        </w:rPr>
        <w:t xml:space="preserve"> </w:t>
      </w:r>
      <w:r>
        <w:rPr>
          <w:rFonts w:ascii="Arial" w:hAnsi="Arial"/>
          <w:color w:val="000000"/>
          <w:sz w:val="20"/>
        </w:rPr>
        <w:t>shares of common stock, (ii) a restricted stock unit award relating to 600,118</w:t>
      </w:r>
      <w:r>
        <w:rPr>
          <w:rFonts w:ascii="Times New Roman" w:hAnsi="Times New Roman"/>
          <w:color w:val="000000"/>
          <w:sz w:val="20"/>
        </w:rPr>
        <w:t xml:space="preserve"> </w:t>
      </w:r>
      <w:r>
        <w:rPr>
          <w:rFonts w:ascii="Arial" w:hAnsi="Arial"/>
          <w:color w:val="000000"/>
          <w:sz w:val="20"/>
        </w:rPr>
        <w:t>shares of common stock and (iii) a performance-based restricted stock unit award relating to 553,844</w:t>
      </w:r>
      <w:r>
        <w:rPr>
          <w:rFonts w:ascii="Times New Roman" w:hAnsi="Times New Roman"/>
          <w:color w:val="000000"/>
          <w:sz w:val="20"/>
        </w:rPr>
        <w:t xml:space="preserve"> </w:t>
      </w:r>
      <w:r>
        <w:rPr>
          <w:rFonts w:ascii="Arial" w:hAnsi="Arial"/>
          <w:color w:val="000000"/>
          <w:sz w:val="20"/>
        </w:rPr>
        <w:t>shares of common stock. As of June 30, 2026, 3,323,065</w:t>
      </w:r>
      <w:r>
        <w:rPr>
          <w:rFonts w:ascii="Times New Roman" w:hAnsi="Times New Roman"/>
          <w:color w:val="000000"/>
          <w:sz w:val="20"/>
        </w:rPr>
        <w:t xml:space="preserve"> </w:t>
      </w:r>
      <w:r>
        <w:rPr>
          <w:rFonts w:ascii="Arial" w:hAnsi="Arial"/>
          <w:color w:val="000000"/>
          <w:sz w:val="20"/>
        </w:rPr>
        <w:t>shares had been granted under the Plan.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2021 Employee Stock Purchase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2021 Employee Stock Purchase Plan, or the ESPP, was adopted by the Board on October 7, 2021, approved by the Company’s stockholders on October 22, 2021 and became effective on November 1, 2021. A total of 335,217</w:t>
      </w:r>
      <w:r>
        <w:rPr>
          <w:rFonts w:ascii="Times New Roman" w:hAnsi="Times New Roman"/>
          <w:color w:val="000000"/>
          <w:sz w:val="20"/>
        </w:rPr>
        <w:t xml:space="preserve"> </w:t>
      </w:r>
      <w:r>
        <w:rPr>
          <w:rFonts w:ascii="Arial" w:hAnsi="Arial"/>
          <w:color w:val="000000"/>
          <w:sz w:val="20"/>
        </w:rPr>
        <w:t>shares of common stock were initially reserved for issuance under this plan, which increased on January 1, 2022 and will continue to increase each January 1 thereafter through January 1, 2031, by the least of (i) 335,217</w:t>
      </w:r>
      <w:r>
        <w:rPr>
          <w:rFonts w:ascii="Times New Roman" w:hAnsi="Times New Roman"/>
          <w:color w:val="000000"/>
          <w:sz w:val="20"/>
        </w:rPr>
        <w:t xml:space="preserve"> </w:t>
      </w:r>
      <w:r>
        <w:rPr>
          <w:rFonts w:ascii="Arial" w:hAnsi="Arial"/>
          <w:color w:val="000000"/>
          <w:sz w:val="20"/>
        </w:rPr>
        <w:t>shares of common stock, (ii) 1% of the outstanding number of shares of common stock on the immediately preceding December 31 or (iii) such lesser number of shares of common stock as determined by the administrator of the ESPP. On January 1, 2026, the shares reserved for issuance were increased to 1,900,688</w:t>
      </w:r>
      <w:r>
        <w:rPr>
          <w:rFonts w:ascii="Times New Roman" w:hAnsi="Times New Roman"/>
          <w:color w:val="000000"/>
          <w:sz w:val="20"/>
        </w:rPr>
        <w:t xml:space="preserve"> </w:t>
      </w:r>
      <w:r>
        <w:rPr>
          <w:rFonts w:ascii="Arial" w:hAnsi="Arial"/>
          <w:color w:val="000000"/>
          <w:sz w:val="20"/>
        </w:rPr>
        <w:t>shares. The purchase price of the shares under the ESPP is at 85% of the lower of the fair market value of the Company’s common stock on the first trading day of the offering period or on the purchase date. As of June 30, 2026, 1,876,474</w:t>
      </w:r>
      <w:r>
        <w:rPr>
          <w:rFonts w:ascii="Times New Roman" w:hAnsi="Times New Roman"/>
          <w:color w:val="000000"/>
          <w:sz w:val="20"/>
        </w:rPr>
        <w:t xml:space="preserve"> </w:t>
      </w:r>
      <w:r>
        <w:rPr>
          <w:rFonts w:ascii="Arial" w:hAnsi="Arial"/>
          <w:color w:val="000000"/>
          <w:sz w:val="20"/>
        </w:rPr>
        <w:t>shares were available to be issued under the ESPP. The Company recognized $0.04</w:t>
      </w:r>
      <w:r>
        <w:rPr>
          <w:rFonts w:ascii="Times New Roman" w:hAnsi="Times New Roman"/>
          <w:color w:val="000000"/>
          <w:sz w:val="20"/>
        </w:rPr>
        <w:t xml:space="preserve"> </w:t>
      </w:r>
      <w:r>
        <w:rPr>
          <w:rFonts w:ascii="Arial" w:hAnsi="Arial"/>
          <w:color w:val="000000"/>
          <w:sz w:val="20"/>
        </w:rPr>
        <w:t>million and $0.01</w:t>
      </w:r>
      <w:r>
        <w:rPr>
          <w:rFonts w:ascii="Times New Roman" w:hAnsi="Times New Roman"/>
          <w:color w:val="000000"/>
          <w:sz w:val="20"/>
        </w:rPr>
        <w:t xml:space="preserve"> </w:t>
      </w:r>
      <w:r>
        <w:rPr>
          <w:rFonts w:ascii="Arial" w:hAnsi="Arial"/>
          <w:color w:val="000000"/>
          <w:sz w:val="20"/>
        </w:rPr>
        <w:t>million in stock-based compensation expense related to the ESPP for the three months ended June 30, 2026 and 2025, respectively. The Company recognized $0.07</w:t>
      </w:r>
      <w:r>
        <w:rPr>
          <w:rFonts w:ascii="Times New Roman" w:hAnsi="Times New Roman"/>
          <w:color w:val="000000"/>
          <w:sz w:val="20"/>
        </w:rPr>
        <w:t xml:space="preserve"> </w:t>
      </w:r>
      <w:r>
        <w:rPr>
          <w:rFonts w:ascii="Arial" w:hAnsi="Arial"/>
          <w:color w:val="000000"/>
          <w:sz w:val="20"/>
        </w:rPr>
        <w:t>million and $0.03</w:t>
      </w:r>
      <w:r>
        <w:rPr>
          <w:rFonts w:ascii="Times New Roman" w:hAnsi="Times New Roman"/>
          <w:color w:val="000000"/>
          <w:sz w:val="20"/>
        </w:rPr>
        <w:t xml:space="preserve"> </w:t>
      </w:r>
      <w:r>
        <w:rPr>
          <w:rFonts w:ascii="Arial" w:hAnsi="Arial"/>
          <w:color w:val="000000"/>
          <w:sz w:val="20"/>
        </w:rPr>
        <w:t>million of stock-based compensation expense related to the ESPP for the six months ended June 30, 2026 and 2025, respectively.</w:t>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Stock Options</w:t>
      </w:r>
    </w:p>
    <w:p>
      <w:pPr>
        <w:pStyle w:val="TextBody"/>
        <w:bidi w:val="0"/>
        <w:spacing w:before="240" w:after="283"/>
        <w:jc w:val="both"/>
        <w:rPr>
          <w:rFonts w:ascii="Times New Roman" w:hAnsi="Times New Roman"/>
          <w:sz w:val="20"/>
        </w:rPr>
      </w:pPr>
      <w:r>
        <w:rPr>
          <w:rFonts w:ascii="Arial" w:hAnsi="Arial"/>
          <w:color w:val="000000"/>
          <w:sz w:val="20"/>
        </w:rPr>
        <w:t>The Board is authorized to administer the 2021 Plan. In accordance with the provisions of the 2021 Plan, the Board determines the terms of Aura options and other awards issued pursuant thereto, including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which employees, directors and consultants shall be granted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shares of common stock subject to options and other awards;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exercise price of each option, which generally shall not be less than fair market value of the common stock on the date of grant;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termination or cancellation provisions applicable to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terms and conditions of other awards, including conditions for repurchase, termination or cancellation, issue price and repurchase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 other terms and conditions upon which each award may be granted in accordance with the 2021 Plan. </w:t>
      </w:r>
    </w:p>
    <w:p>
      <w:pPr>
        <w:pStyle w:val="TextBody"/>
        <w:bidi w:val="0"/>
        <w:spacing w:before="240" w:after="283"/>
        <w:jc w:val="both"/>
        <w:rPr>
          <w:rFonts w:ascii="Times New Roman" w:hAnsi="Times New Roman"/>
          <w:sz w:val="20"/>
        </w:rPr>
      </w:pPr>
      <w:r>
        <w:rPr>
          <w:rFonts w:ascii="Arial" w:hAnsi="Arial"/>
          <w:color w:val="000000"/>
          <w:sz w:val="20"/>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stock option activity under the 2018 Plan, 2021 Plan, and Inducement Award Plan for the six months ended June 30, 2026:</w:t>
      </w:r>
      <w:r>
        <w:rPr>
          <w:rFonts w:ascii="Times New Roman" w:hAnsi="Times New Roman"/>
          <w:color w:val="000000"/>
          <w:sz w:val="20"/>
        </w:rPr>
        <w:t xml:space="preserve"> </w:t>
      </w:r>
    </w:p>
    <w:tbl>
      <w:tblPr>
        <w:tblW w:w="9678" w:type="dxa"/>
        <w:jc w:val="left"/>
        <w:tblInd w:w="0" w:type="dxa"/>
        <w:tblLayout w:type="fixed"/>
        <w:tblCellMar>
          <w:top w:w="28" w:type="dxa"/>
          <w:left w:w="28" w:type="dxa"/>
          <w:bottom w:w="28" w:type="dxa"/>
          <w:right w:w="28" w:type="dxa"/>
        </w:tblCellMar>
      </w:tblPr>
      <w:tblGrid>
        <w:gridCol w:w="3151"/>
        <w:gridCol w:w="146"/>
        <w:gridCol w:w="146"/>
        <w:gridCol w:w="1066"/>
        <w:gridCol w:w="166"/>
        <w:gridCol w:w="146"/>
        <w:gridCol w:w="315"/>
        <w:gridCol w:w="721"/>
        <w:gridCol w:w="146"/>
        <w:gridCol w:w="146"/>
        <w:gridCol w:w="272"/>
        <w:gridCol w:w="899"/>
        <w:gridCol w:w="146"/>
        <w:gridCol w:w="146"/>
        <w:gridCol w:w="496"/>
        <w:gridCol w:w="1379"/>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 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6,467,582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3,967,456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10,097,183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4,466,179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weighted-average grant date fair value of stock options granted during the six months ended June 30, 2026 and 2025 was $5.37</w:t>
      </w:r>
      <w:r>
        <w:rPr>
          <w:rFonts w:ascii="Times New Roman" w:hAnsi="Times New Roman"/>
          <w:color w:val="000000"/>
          <w:sz w:val="20"/>
        </w:rPr>
        <w:t xml:space="preserve"> </w:t>
      </w:r>
      <w:r>
        <w:rPr>
          <w:rFonts w:ascii="Arial" w:hAnsi="Arial"/>
          <w:color w:val="000000"/>
          <w:sz w:val="20"/>
        </w:rPr>
        <w:t>and $5.57</w:t>
      </w:r>
      <w:r>
        <w:rPr>
          <w:rFonts w:ascii="Times New Roman" w:hAnsi="Times New Roman"/>
          <w:color w:val="000000"/>
          <w:sz w:val="20"/>
        </w:rPr>
        <w:t xml:space="preserve"> </w:t>
      </w:r>
      <w:r>
        <w:rPr>
          <w:rFonts w:ascii="Arial" w:hAnsi="Arial"/>
          <w:color w:val="000000"/>
          <w:sz w:val="20"/>
        </w:rPr>
        <w:t>per share, respectively. The fair value of options vested during the six months ended June 30, 2026 and 2025 was $4.3</w:t>
      </w:r>
      <w:r>
        <w:rPr>
          <w:rFonts w:ascii="Times New Roman" w:hAnsi="Times New Roman"/>
          <w:color w:val="000000"/>
          <w:sz w:val="20"/>
        </w:rPr>
        <w:t xml:space="preserve"> </w:t>
      </w:r>
      <w:r>
        <w:rPr>
          <w:rFonts w:ascii="Arial" w:hAnsi="Arial"/>
          <w:color w:val="000000"/>
          <w:sz w:val="20"/>
        </w:rPr>
        <w:t>million and $4.6</w:t>
      </w:r>
      <w:r>
        <w:rPr>
          <w:rFonts w:ascii="Times New Roman" w:hAnsi="Times New Roman"/>
          <w:color w:val="000000"/>
          <w:sz w:val="20"/>
        </w:rPr>
        <w:t xml:space="preserve"> </w:t>
      </w:r>
      <w:r>
        <w:rPr>
          <w:rFonts w:ascii="Arial" w:hAnsi="Arial"/>
          <w:color w:val="000000"/>
          <w:sz w:val="20"/>
        </w:rPr>
        <w:t>million, respectively. The total intrinsic value of options exercised was $0.02</w:t>
      </w:r>
      <w:r>
        <w:rPr>
          <w:rFonts w:ascii="Times New Roman" w:hAnsi="Times New Roman"/>
          <w:color w:val="000000"/>
          <w:sz w:val="20"/>
        </w:rPr>
        <w:t xml:space="preserve"> </w:t>
      </w:r>
      <w:r>
        <w:rPr>
          <w:rFonts w:ascii="Arial" w:hAnsi="Arial"/>
          <w:color w:val="000000"/>
          <w:sz w:val="20"/>
        </w:rPr>
        <w:t>million and $0.01</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spacing w:before="240" w:after="283"/>
        <w:jc w:val="both"/>
        <w:rPr>
          <w:rFonts w:ascii="Times New Roman" w:hAnsi="Times New Roman"/>
          <w:sz w:val="20"/>
        </w:rPr>
      </w:pPr>
      <w:r>
        <w:rPr>
          <w:rFonts w:ascii="Arial" w:hAnsi="Arial"/>
          <w:color w:val="000000"/>
          <w:sz w:val="20"/>
        </w:rPr>
        <w:t>The fair value of the stock options granted for the three and six months ended June 30, 2026 and 2025 was measured with the following weighted-average assumptions:</w:t>
      </w:r>
      <w:r>
        <w:rPr>
          <w:rFonts w:ascii="Times New Roman" w:hAnsi="Times New Roman"/>
          <w:color w:val="000000"/>
          <w:sz w:val="20"/>
        </w:rPr>
        <w:t xml:space="preserve"> </w:t>
      </w:r>
    </w:p>
    <w:tbl>
      <w:tblPr>
        <w:tblW w:w="8609" w:type="dxa"/>
        <w:jc w:val="left"/>
        <w:tblInd w:w="0" w:type="dxa"/>
        <w:tblLayout w:type="fixed"/>
        <w:tblCellMar>
          <w:top w:w="28" w:type="dxa"/>
          <w:left w:w="28" w:type="dxa"/>
          <w:bottom w:w="28" w:type="dxa"/>
          <w:right w:w="28" w:type="dxa"/>
        </w:tblCellMar>
      </w:tblPr>
      <w:tblGrid>
        <w:gridCol w:w="3766"/>
        <w:gridCol w:w="146"/>
        <w:gridCol w:w="157"/>
        <w:gridCol w:w="630"/>
        <w:gridCol w:w="307"/>
        <w:gridCol w:w="157"/>
        <w:gridCol w:w="157"/>
        <w:gridCol w:w="630"/>
        <w:gridCol w:w="286"/>
        <w:gridCol w:w="146"/>
        <w:gridCol w:w="146"/>
        <w:gridCol w:w="586"/>
        <w:gridCol w:w="286"/>
        <w:gridCol w:w="146"/>
        <w:gridCol w:w="146"/>
        <w:gridCol w:w="586"/>
        <w:gridCol w:w="33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 of the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91.04</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Restricted Stock Units</w:t>
      </w:r>
    </w:p>
    <w:p>
      <w:pPr>
        <w:pStyle w:val="TextBody"/>
        <w:bidi w:val="0"/>
        <w:jc w:val="both"/>
        <w:rPr>
          <w:rFonts w:ascii="Arial" w:hAnsi="Arial"/>
          <w:color w:val="000000"/>
          <w:sz w:val="20"/>
        </w:rPr>
      </w:pPr>
      <w:r>
        <w:rPr>
          <w:rFonts w:ascii="Arial" w:hAnsi="Arial"/>
          <w:color w:val="000000"/>
          <w:sz w:val="20"/>
        </w:rPr>
        <w:t>The Company has granted restricted stock units with service-based, market-based, and performance-based vesting conditions. Unvested restricted stock units may not be sold or transferred by the holder.</w:t>
      </w:r>
    </w:p>
    <w:p>
      <w:pPr>
        <w:pStyle w:val="TextBody"/>
        <w:bidi w:val="0"/>
        <w:spacing w:before="240" w:after="283"/>
        <w:jc w:val="left"/>
        <w:rPr>
          <w:rFonts w:ascii="Times New Roman" w:hAnsi="Times New Roman"/>
          <w:sz w:val="20"/>
        </w:rPr>
      </w:pPr>
      <w:r>
        <w:rPr>
          <w:rFonts w:ascii="Arial" w:hAnsi="Arial"/>
          <w:color w:val="000000"/>
          <w:sz w:val="20"/>
        </w:rPr>
        <w:t>The fair value of the performance-based restricted stock units with a market-based vesting condition granted under the Plan for the three and six months ended June 30, 2026 and 2025 was measured with the following weighted-average assumptions using a lattice model with a Monte Carlo simulation: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26" w:type="dxa"/>
        <w:jc w:val="left"/>
        <w:tblInd w:w="0" w:type="dxa"/>
        <w:tblLayout w:type="fixed"/>
        <w:tblCellMar>
          <w:top w:w="28" w:type="dxa"/>
          <w:left w:w="28" w:type="dxa"/>
          <w:bottom w:w="28" w:type="dxa"/>
          <w:right w:w="28" w:type="dxa"/>
        </w:tblCellMar>
      </w:tblPr>
      <w:tblGrid>
        <w:gridCol w:w="3766"/>
        <w:gridCol w:w="146"/>
        <w:gridCol w:w="179"/>
        <w:gridCol w:w="722"/>
        <w:gridCol w:w="352"/>
        <w:gridCol w:w="179"/>
        <w:gridCol w:w="179"/>
        <w:gridCol w:w="426"/>
        <w:gridCol w:w="286"/>
        <w:gridCol w:w="146"/>
        <w:gridCol w:w="160"/>
        <w:gridCol w:w="642"/>
        <w:gridCol w:w="313"/>
        <w:gridCol w:w="160"/>
        <w:gridCol w:w="160"/>
        <w:gridCol w:w="379"/>
        <w:gridCol w:w="33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 of the underlying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pPr>
      <w:r>
        <w:rPr/>
        <w:t> </w:t>
      </w:r>
    </w:p>
    <w:p>
      <w:pPr>
        <w:pStyle w:val="TextBody"/>
        <w:bidi w:val="0"/>
        <w:jc w:val="both"/>
        <w:rPr>
          <w:rFonts w:ascii="Arial" w:hAnsi="Arial"/>
          <w:color w:val="000000"/>
          <w:sz w:val="20"/>
        </w:rPr>
      </w:pPr>
      <w:r>
        <w:rPr>
          <w:rFonts w:ascii="Arial" w:hAnsi="Arial"/>
          <w:color w:val="000000"/>
          <w:sz w:val="20"/>
        </w:rPr>
        <w:t>A summary of the restricted stock units activity during the six months ended June 30, 2026 is as follows:</w:t>
      </w:r>
    </w:p>
    <w:tbl>
      <w:tblPr>
        <w:tblW w:w="7820" w:type="dxa"/>
        <w:jc w:val="left"/>
        <w:tblInd w:w="0" w:type="dxa"/>
        <w:tblLayout w:type="fixed"/>
        <w:tblCellMar>
          <w:top w:w="28" w:type="dxa"/>
          <w:left w:w="28" w:type="dxa"/>
          <w:bottom w:w="28" w:type="dxa"/>
          <w:right w:w="28" w:type="dxa"/>
        </w:tblCellMar>
      </w:tblPr>
      <w:tblGrid>
        <w:gridCol w:w="2926"/>
        <w:gridCol w:w="146"/>
        <w:gridCol w:w="285"/>
        <w:gridCol w:w="1875"/>
        <w:gridCol w:w="166"/>
        <w:gridCol w:w="146"/>
        <w:gridCol w:w="634"/>
        <w:gridCol w:w="145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2,690,777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4,251,432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For the six months ended June 30, 2026, 642,829</w:t>
      </w:r>
      <w:r>
        <w:rPr>
          <w:rFonts w:ascii="Times New Roman" w:hAnsi="Times New Roman"/>
          <w:color w:val="000000"/>
          <w:sz w:val="20"/>
        </w:rPr>
        <w:t xml:space="preserve"> </w:t>
      </w:r>
      <w:r>
        <w:rPr>
          <w:rFonts w:ascii="Arial" w:hAnsi="Arial"/>
          <w:color w:val="000000"/>
          <w:sz w:val="20"/>
        </w:rPr>
        <w:t>restricted stock units vested with a fair value of $5.0</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Stock-Based Compensation Expense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recorded stock-based compensation expense as follows (in thousands):</w:t>
      </w:r>
      <w:r>
        <w:rPr>
          <w:rFonts w:ascii="Times New Roman" w:hAnsi="Times New Roman"/>
          <w:color w:val="000000"/>
          <w:sz w:val="20"/>
        </w:rPr>
        <w:t xml:space="preserve"> </w:t>
      </w:r>
    </w:p>
    <w:tbl>
      <w:tblPr>
        <w:tblW w:w="7295" w:type="dxa"/>
        <w:jc w:val="left"/>
        <w:tblInd w:w="0" w:type="dxa"/>
        <w:tblLayout w:type="fixed"/>
        <w:tblCellMar>
          <w:top w:w="28" w:type="dxa"/>
          <w:left w:w="28" w:type="dxa"/>
          <w:bottom w:w="28" w:type="dxa"/>
          <w:right w:w="28" w:type="dxa"/>
        </w:tblCellMar>
      </w:tblPr>
      <w:tblGrid>
        <w:gridCol w:w="2491"/>
        <w:gridCol w:w="146"/>
        <w:gridCol w:w="216"/>
        <w:gridCol w:w="708"/>
        <w:gridCol w:w="149"/>
        <w:gridCol w:w="149"/>
        <w:gridCol w:w="216"/>
        <w:gridCol w:w="600"/>
        <w:gridCol w:w="146"/>
        <w:gridCol w:w="146"/>
        <w:gridCol w:w="146"/>
        <w:gridCol w:w="211"/>
        <w:gridCol w:w="691"/>
        <w:gridCol w:w="146"/>
        <w:gridCol w:w="146"/>
        <w:gridCol w:w="211"/>
        <w:gridCol w:w="58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12,368</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As of June 30, 2026, there was $26.2</w:t>
      </w:r>
      <w:r>
        <w:rPr>
          <w:rFonts w:ascii="Times New Roman" w:hAnsi="Times New Roman"/>
          <w:color w:val="000000"/>
          <w:sz w:val="20"/>
        </w:rPr>
        <w:t xml:space="preserve"> </w:t>
      </w:r>
      <w:r>
        <w:rPr>
          <w:rFonts w:ascii="Arial" w:hAnsi="Arial"/>
          <w:color w:val="000000"/>
          <w:sz w:val="20"/>
        </w:rPr>
        <w:t>million of unrecognized stock-based compensation expense related to stock options, which is expected to be recognized over a weighted-average period of 2.95</w:t>
      </w:r>
      <w:r>
        <w:rPr>
          <w:rFonts w:ascii="Times New Roman" w:hAnsi="Times New Roman"/>
          <w:color w:val="000000"/>
          <w:sz w:val="20"/>
        </w:rPr>
        <w:t xml:space="preserve"> </w:t>
      </w:r>
      <w:r>
        <w:rPr>
          <w:rFonts w:ascii="Arial" w:hAnsi="Arial"/>
          <w:color w:val="000000"/>
          <w:sz w:val="20"/>
        </w:rPr>
        <w:t>years.</w:t>
      </w:r>
    </w:p>
    <w:p>
      <w:pPr>
        <w:pStyle w:val="TextBody"/>
        <w:bidi w:val="0"/>
        <w:jc w:val="both"/>
        <w:rPr>
          <w:rFonts w:ascii="Times New Roman" w:hAnsi="Times New Roman"/>
          <w:sz w:val="20"/>
        </w:rPr>
      </w:pPr>
      <w:r>
        <w:rPr>
          <w:rFonts w:ascii="Arial" w:hAnsi="Arial"/>
          <w:color w:val="000000"/>
          <w:sz w:val="20"/>
        </w:rPr>
        <w:t>As of June 30, 2026, there was $23.8</w:t>
      </w:r>
      <w:r>
        <w:rPr>
          <w:rFonts w:ascii="Times New Roman" w:hAnsi="Times New Roman"/>
          <w:color w:val="000000"/>
          <w:sz w:val="20"/>
        </w:rPr>
        <w:t xml:space="preserve"> </w:t>
      </w:r>
      <w:r>
        <w:rPr>
          <w:rFonts w:ascii="Arial" w:hAnsi="Arial"/>
          <w:color w:val="000000"/>
          <w:sz w:val="20"/>
        </w:rPr>
        <w:t>million of unrecognized stock-based compensation expense related to restricted stock units, which is expected to be recognized over a weighted-average period of 2.58</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10. Warrants</w:t>
      </w:r>
    </w:p>
    <w:p>
      <w:pPr>
        <w:pStyle w:val="TextBody"/>
        <w:bidi w:val="0"/>
        <w:spacing w:before="80" w:after="283"/>
        <w:jc w:val="both"/>
        <w:rPr>
          <w:rFonts w:ascii="Times New Roman" w:hAnsi="Times New Roman"/>
          <w:sz w:val="20"/>
        </w:rPr>
      </w:pPr>
      <w:r>
        <w:rPr>
          <w:rFonts w:ascii="Arial" w:hAnsi="Arial"/>
          <w:color w:val="000000"/>
          <w:sz w:val="20"/>
        </w:rPr>
        <w:t>In May 2026, in connection with the 2026 Follow-On Offering, the Company issued pre-funded warrants to purchase an aggregate of up to 3,800,000</w:t>
      </w:r>
      <w:r>
        <w:rPr>
          <w:rFonts w:ascii="Times New Roman" w:hAnsi="Times New Roman"/>
          <w:color w:val="000000"/>
          <w:sz w:val="20"/>
        </w:rPr>
        <w:t xml:space="preserve"> </w:t>
      </w:r>
      <w:r>
        <w:rPr>
          <w:rFonts w:ascii="Arial" w:hAnsi="Arial"/>
          <w:color w:val="000000"/>
          <w:sz w:val="20"/>
        </w:rPr>
        <w:t>shares of its common stock. Each such pre-funded warrant was offered and sold at a price to the public of $5.99999</w:t>
      </w:r>
      <w:r>
        <w:rPr>
          <w:rFonts w:ascii="Times New Roman" w:hAnsi="Times New Roman"/>
          <w:color w:val="000000"/>
          <w:sz w:val="20"/>
        </w:rPr>
        <w:t xml:space="preserve"> </w:t>
      </w:r>
      <w:r>
        <w:rPr>
          <w:rFonts w:ascii="Arial" w:hAnsi="Arial"/>
          <w:color w:val="000000"/>
          <w:sz w:val="20"/>
        </w:rPr>
        <w:t>per pre-funded warrant. Additionally, in May 2025, in connection with the 2025 Follow-On Offering, the Company issued pre-funded warrants to purchase up to 3,571,435</w:t>
      </w:r>
      <w:r>
        <w:rPr>
          <w:rFonts w:ascii="Times New Roman" w:hAnsi="Times New Roman"/>
          <w:color w:val="000000"/>
          <w:sz w:val="20"/>
        </w:rPr>
        <w:t xml:space="preserve"> </w:t>
      </w:r>
      <w:r>
        <w:rPr>
          <w:rFonts w:ascii="Arial" w:hAnsi="Arial"/>
          <w:color w:val="000000"/>
          <w:sz w:val="20"/>
        </w:rPr>
        <w:t>shares of common stock and warrants to purchase an aggregate of 3,826,750</w:t>
      </w:r>
      <w:r>
        <w:rPr>
          <w:rFonts w:ascii="Times New Roman" w:hAnsi="Times New Roman"/>
          <w:color w:val="000000"/>
          <w:sz w:val="20"/>
        </w:rPr>
        <w:t xml:space="preserve"> </w:t>
      </w:r>
      <w:r>
        <w:rPr>
          <w:rFonts w:ascii="Arial" w:hAnsi="Arial"/>
          <w:color w:val="000000"/>
          <w:sz w:val="20"/>
        </w:rPr>
        <w:t xml:space="preserve">shares of common stock. Each pre-funded warrant has an initial exercise price per share of $0.00001, subject to certain adjustments. The pre-funded warrants are exercisable immediately and may be exercised at any time until all of the pre-funded warrants are exercised in full. Each common stock warrant has an initial exercise price per share of $4.90, subject to certain adjustments. The common stock warrants are immediately exercisable from the date of issuance until expiration five years after the date of issuance. Pursuant to ASC 815-40, </w:t>
      </w:r>
      <w:r>
        <w:rPr>
          <w:rFonts w:ascii="Arial" w:hAnsi="Arial"/>
          <w:i/>
          <w:color w:val="000000"/>
          <w:sz w:val="20"/>
        </w:rPr>
        <w:t>Accounting for Derivative Financial Instruments Indexed to, and Potentially Settled in, a Company’s Own Stock</w:t>
      </w:r>
      <w:r>
        <w:rPr>
          <w:rFonts w:ascii="Arial" w:hAnsi="Arial"/>
          <w:color w:val="000000"/>
          <w:sz w:val="20"/>
        </w:rPr>
        <w:t>, the pre-funded warrants and common stock warrants were classified within permanent equity. As of June 30, 2026, 7,371,435</w:t>
      </w:r>
      <w:r>
        <w:rPr>
          <w:rFonts w:ascii="Times New Roman" w:hAnsi="Times New Roman"/>
          <w:color w:val="000000"/>
          <w:sz w:val="20"/>
        </w:rPr>
        <w:t xml:space="preserve"> </w:t>
      </w:r>
      <w:r>
        <w:rPr>
          <w:rFonts w:ascii="Arial" w:hAnsi="Arial"/>
          <w:color w:val="000000"/>
          <w:sz w:val="20"/>
        </w:rPr>
        <w:t>pre-funded warrants and 3,801,750</w:t>
      </w:r>
      <w:r>
        <w:rPr>
          <w:rFonts w:ascii="Times New Roman" w:hAnsi="Times New Roman"/>
          <w:color w:val="000000"/>
          <w:sz w:val="20"/>
        </w:rPr>
        <w:t xml:space="preserve"> </w:t>
      </w:r>
      <w:r>
        <w:rPr>
          <w:rFonts w:ascii="Arial" w:hAnsi="Arial"/>
          <w:color w:val="000000"/>
          <w:sz w:val="20"/>
        </w:rPr>
        <w:t>common stock warrants remained outstanding.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February 2015 and May 2015, the Company issued warrants to purchase 1,650,098</w:t>
      </w:r>
      <w:r>
        <w:rPr>
          <w:rFonts w:ascii="Times New Roman" w:hAnsi="Times New Roman"/>
          <w:color w:val="000000"/>
          <w:sz w:val="20"/>
        </w:rPr>
        <w:t xml:space="preserve"> </w:t>
      </w:r>
      <w:r>
        <w:rPr>
          <w:rFonts w:ascii="Arial" w:hAnsi="Arial"/>
          <w:color w:val="000000"/>
          <w:sz w:val="20"/>
        </w:rPr>
        <w:t>and 887,536</w:t>
      </w:r>
      <w:r>
        <w:rPr>
          <w:rFonts w:ascii="Times New Roman" w:hAnsi="Times New Roman"/>
          <w:color w:val="000000"/>
          <w:sz w:val="20"/>
        </w:rPr>
        <w:t xml:space="preserve"> </w:t>
      </w:r>
      <w:r>
        <w:rPr>
          <w:rFonts w:ascii="Arial" w:hAnsi="Arial"/>
          <w:color w:val="000000"/>
          <w:sz w:val="20"/>
        </w:rPr>
        <w:t>shares of Series B convertible preferred stock, respectively, at an exercise price of $1.24235</w:t>
      </w:r>
      <w:r>
        <w:rPr>
          <w:rFonts w:ascii="Times New Roman" w:hAnsi="Times New Roman"/>
          <w:color w:val="000000"/>
          <w:sz w:val="20"/>
        </w:rPr>
        <w:t xml:space="preserve"> </w:t>
      </w:r>
      <w:r>
        <w:rPr>
          <w:rFonts w:ascii="Arial" w:hAnsi="Arial"/>
          <w:color w:val="000000"/>
          <w:sz w:val="20"/>
        </w:rPr>
        <w:t>per share, or the Series B Warrants. Each Series B Warrant was immediately exercisable and expired ten years</w:t>
      </w:r>
      <w:r>
        <w:rPr>
          <w:rFonts w:ascii="Times New Roman" w:hAnsi="Times New Roman"/>
          <w:color w:val="000000"/>
          <w:sz w:val="20"/>
        </w:rPr>
        <w:t xml:space="preserve"> </w:t>
      </w:r>
      <w:r>
        <w:rPr>
          <w:rFonts w:ascii="Arial" w:hAnsi="Arial"/>
          <w:color w:val="000000"/>
          <w:sz w:val="20"/>
        </w:rPr>
        <w:t xml:space="preserve">from the original date of issuance. Pursuant to ASC 480, </w:t>
      </w:r>
      <w:r>
        <w:rPr>
          <w:rFonts w:ascii="Arial" w:hAnsi="Arial"/>
          <w:i/>
          <w:color w:val="000000"/>
          <w:sz w:val="20"/>
        </w:rPr>
        <w:t>Distinguishing Liabilities from Equity</w:t>
      </w:r>
      <w:r>
        <w:rPr>
          <w:rFonts w:ascii="Arial" w:hAnsi="Arial"/>
          <w:color w:val="000000"/>
          <w:sz w:val="20"/>
        </w:rPr>
        <w:t>, the Series B Warrants were classified as a liability and were re-measured to fair value at each balance sheet date. A total of 173,827</w:t>
      </w:r>
      <w:r>
        <w:rPr>
          <w:rFonts w:ascii="Times New Roman" w:hAnsi="Times New Roman"/>
          <w:color w:val="000000"/>
          <w:sz w:val="20"/>
        </w:rPr>
        <w:t xml:space="preserve"> </w:t>
      </w:r>
      <w:r>
        <w:rPr>
          <w:rFonts w:ascii="Arial" w:hAnsi="Arial"/>
          <w:color w:val="000000"/>
          <w:sz w:val="20"/>
        </w:rPr>
        <w:t>of the Series B Warrants were outstanding and were converted into warrants to purchase 12,686</w:t>
      </w:r>
      <w:r>
        <w:rPr>
          <w:rFonts w:ascii="Times New Roman" w:hAnsi="Times New Roman"/>
          <w:color w:val="000000"/>
          <w:sz w:val="20"/>
        </w:rPr>
        <w:t xml:space="preserve"> </w:t>
      </w:r>
      <w:r>
        <w:rPr>
          <w:rFonts w:ascii="Arial" w:hAnsi="Arial"/>
          <w:color w:val="000000"/>
          <w:sz w:val="20"/>
        </w:rPr>
        <w:t>shares of common stock with an exercise price of $17.03</w:t>
      </w:r>
      <w:r>
        <w:rPr>
          <w:rFonts w:ascii="Times New Roman" w:hAnsi="Times New Roman"/>
          <w:color w:val="000000"/>
          <w:sz w:val="20"/>
        </w:rPr>
        <w:t xml:space="preserve"> </w:t>
      </w:r>
      <w:r>
        <w:rPr>
          <w:rFonts w:ascii="Arial" w:hAnsi="Arial"/>
          <w:color w:val="000000"/>
          <w:sz w:val="20"/>
        </w:rPr>
        <w:t>upon the completion of the IPO in November 2021. As a result, the 12,686</w:t>
      </w:r>
      <w:r>
        <w:rPr>
          <w:rFonts w:ascii="Times New Roman" w:hAnsi="Times New Roman"/>
          <w:color w:val="000000"/>
          <w:sz w:val="20"/>
        </w:rPr>
        <w:t xml:space="preserve"> </w:t>
      </w:r>
      <w:r>
        <w:rPr>
          <w:rFonts w:ascii="Arial" w:hAnsi="Arial"/>
          <w:color w:val="000000"/>
          <w:sz w:val="20"/>
        </w:rPr>
        <w:t>common stock warrants were converted into equity instruments. All of these common stock warrants expired in 2025.</w:t>
      </w:r>
    </w:p>
    <w:p>
      <w:pPr>
        <w:pStyle w:val="TextBody"/>
        <w:bidi w:val="0"/>
        <w:spacing w:before="240" w:after="283"/>
        <w:jc w:val="both"/>
        <w:rPr>
          <w:rFonts w:ascii="Arial" w:hAnsi="Arial"/>
          <w:color w:val="000000"/>
          <w:sz w:val="20"/>
        </w:rPr>
      </w:pPr>
      <w:r>
        <w:rPr>
          <w:rFonts w:ascii="Arial" w:hAnsi="Arial"/>
          <w:color w:val="000000"/>
          <w:sz w:val="20"/>
        </w:rPr>
        <w:t>The following is a summary of the warrants activity for the six months ended June 30, 2026:</w:t>
      </w:r>
    </w:p>
    <w:p>
      <w:pPr>
        <w:pStyle w:val="TextBody"/>
        <w:bidi w:val="0"/>
        <w:spacing w:before="80" w:after="283"/>
        <w:jc w:val="both"/>
        <w:rPr/>
      </w:pPr>
      <w:r>
        <w:rPr/>
        <w:t> </w:t>
      </w:r>
    </w:p>
    <w:tbl>
      <w:tblPr>
        <w:tblW w:w="6847" w:type="dxa"/>
        <w:jc w:val="left"/>
        <w:tblInd w:w="0" w:type="dxa"/>
        <w:tblLayout w:type="fixed"/>
        <w:tblCellMar>
          <w:top w:w="28" w:type="dxa"/>
          <w:left w:w="28" w:type="dxa"/>
          <w:bottom w:w="28" w:type="dxa"/>
          <w:right w:w="28" w:type="dxa"/>
        </w:tblCellMar>
      </w:tblPr>
      <w:tblGrid>
        <w:gridCol w:w="3421"/>
        <w:gridCol w:w="146"/>
        <w:gridCol w:w="186"/>
        <w:gridCol w:w="1359"/>
        <w:gridCol w:w="166"/>
        <w:gridCol w:w="146"/>
        <w:gridCol w:w="146"/>
        <w:gridCol w:w="1066"/>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Equity classified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11,173,185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11,173,185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11. Compensation</w:t>
      </w:r>
    </w:p>
    <w:p>
      <w:pPr>
        <w:pStyle w:val="TextBody"/>
        <w:bidi w:val="0"/>
        <w:spacing w:before="80" w:after="283"/>
        <w:jc w:val="both"/>
        <w:rPr>
          <w:rFonts w:ascii="Times New Roman" w:hAnsi="Times New Roman"/>
          <w:sz w:val="20"/>
        </w:rPr>
      </w:pPr>
      <w:r>
        <w:rPr>
          <w:rFonts w:ascii="Arial" w:hAnsi="Arial"/>
          <w:color w:val="000000"/>
          <w:sz w:val="20"/>
        </w:rPr>
        <w:t>In January 2012, the Company adopted the Aura Biosciences 401(k) Profit Sharing Plan and Trust (the “401(k) Plan”) for its employees, which is designed to be qualified under Section 401(k) of the Code. Eligible employees are permitted to contribute to the 401(k) Plan within statutory and 401(k) Plan limits. The Company makes matching contributions of 100% of the first 6% of employee contributions. The Company made matching contributions of $0.4</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for the three months ended June 30, 2026 and 2025, respectively. Additionally, the Company made matching contributions of $0.7</w:t>
      </w:r>
      <w:r>
        <w:rPr>
          <w:rFonts w:ascii="Times New Roman" w:hAnsi="Times New Roman"/>
          <w:color w:val="000000"/>
          <w:sz w:val="20"/>
        </w:rPr>
        <w:t xml:space="preserve"> </w:t>
      </w:r>
      <w:r>
        <w:rPr>
          <w:rFonts w:ascii="Arial" w:hAnsi="Arial"/>
          <w:color w:val="000000"/>
          <w:sz w:val="20"/>
        </w:rPr>
        <w:t>million for each of the six months ended June 30, 2026 and 2025.</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12. Commitments and Contingencies</w:t>
      </w:r>
    </w:p>
    <w:p>
      <w:pPr>
        <w:pStyle w:val="TextBody"/>
        <w:bidi w:val="0"/>
        <w:spacing w:before="80" w:after="283"/>
        <w:jc w:val="left"/>
        <w:rPr>
          <w:rFonts w:ascii="Times New Roman" w:hAnsi="Times New Roman"/>
          <w:sz w:val="20"/>
        </w:rPr>
      </w:pPr>
      <w:r>
        <w:rPr>
          <w:rFonts w:ascii="Arial" w:hAnsi="Arial"/>
          <w:b/>
          <w:i/>
          <w:color w:val="000000"/>
          <w:sz w:val="20"/>
        </w:rPr>
        <w:t>Lease Commitments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historically entered into lease arrangements for its facilities. The Company has one</w:t>
      </w:r>
      <w:r>
        <w:rPr>
          <w:rFonts w:ascii="Times New Roman" w:hAnsi="Times New Roman"/>
          <w:color w:val="000000"/>
          <w:sz w:val="20"/>
        </w:rPr>
        <w:t xml:space="preserve"> </w:t>
      </w:r>
      <w:r>
        <w:rPr>
          <w:rFonts w:ascii="Arial" w:hAnsi="Arial"/>
          <w:color w:val="000000"/>
          <w:sz w:val="20"/>
        </w:rPr>
        <w:t>operating lease for its office and laboratory facility with required future minimum payments as of June 30, 2026.</w:t>
      </w:r>
    </w:p>
    <w:p>
      <w:pPr>
        <w:pStyle w:val="TextBody"/>
        <w:bidi w:val="0"/>
        <w:spacing w:before="240" w:after="283"/>
        <w:jc w:val="both"/>
        <w:rPr>
          <w:rFonts w:ascii="Times New Roman" w:hAnsi="Times New Roman"/>
          <w:sz w:val="20"/>
        </w:rPr>
      </w:pPr>
      <w:r>
        <w:rPr>
          <w:rFonts w:ascii="Arial" w:hAnsi="Arial"/>
          <w:color w:val="000000"/>
          <w:sz w:val="20"/>
        </w:rPr>
        <w:t>On May 16, 2022, the Company entered into an office and laboratory lease in Boston, Massachusetts with an initial 10-year term and one renewal option to extend the lease for an additional seven years</w:t>
      </w:r>
      <w:r>
        <w:rPr>
          <w:rFonts w:ascii="Times New Roman" w:hAnsi="Times New Roman"/>
          <w:color w:val="000000"/>
          <w:sz w:val="20"/>
        </w:rPr>
        <w:t xml:space="preserve"> </w:t>
      </w:r>
      <w:r>
        <w:rPr>
          <w:rFonts w:ascii="Arial" w:hAnsi="Arial"/>
          <w:color w:val="000000"/>
          <w:sz w:val="20"/>
        </w:rPr>
        <w:t>which has not been deemed probable of being exercised by the Company as of June 30, 2026. The lease commenced on August 1, 2022, and estimated payments due under the initial term are approximately $35.2</w:t>
      </w:r>
      <w:r>
        <w:rPr>
          <w:rFonts w:ascii="Times New Roman" w:hAnsi="Times New Roman"/>
          <w:color w:val="000000"/>
          <w:sz w:val="20"/>
        </w:rPr>
        <w:t xml:space="preserve"> </w:t>
      </w:r>
      <w:r>
        <w:rPr>
          <w:rFonts w:ascii="Arial" w:hAnsi="Arial"/>
          <w:color w:val="000000"/>
          <w:sz w:val="20"/>
        </w:rPr>
        <w:t>million. The lease requires a letter of credit totaling $0.8</w:t>
      </w:r>
      <w:r>
        <w:rPr>
          <w:rFonts w:ascii="Times New Roman" w:hAnsi="Times New Roman"/>
          <w:color w:val="000000"/>
          <w:sz w:val="20"/>
        </w:rPr>
        <w:t xml:space="preserve"> </w:t>
      </w:r>
      <w:r>
        <w:rPr>
          <w:rFonts w:ascii="Arial" w:hAnsi="Arial"/>
          <w:color w:val="000000"/>
          <w:sz w:val="20"/>
        </w:rPr>
        <w:t>million which is classified as long-term restricted cash and deposits on the unaudited condensed consolidated balance sheets.</w:t>
      </w:r>
    </w:p>
    <w:p>
      <w:pPr>
        <w:pStyle w:val="TextBody"/>
        <w:bidi w:val="0"/>
        <w:spacing w:before="240" w:after="283"/>
        <w:jc w:val="both"/>
        <w:rPr>
          <w:rFonts w:ascii="Arial" w:hAnsi="Arial"/>
          <w:color w:val="000000"/>
          <w:sz w:val="20"/>
        </w:rPr>
      </w:pPr>
      <w:r>
        <w:rPr>
          <w:rFonts w:ascii="Arial" w:hAnsi="Arial"/>
          <w:color w:val="000000"/>
          <w:sz w:val="20"/>
        </w:rPr>
        <w:t>The following table contains a summary of the lease costs recognized under ASC 842 and other information pertaining to the Company’s leases for the three and six months ended June 30, 2026 and 2025 (in thousands):</w:t>
      </w:r>
    </w:p>
    <w:tbl>
      <w:tblPr>
        <w:tblW w:w="6579" w:type="dxa"/>
        <w:jc w:val="left"/>
        <w:tblInd w:w="0" w:type="dxa"/>
        <w:tblLayout w:type="fixed"/>
        <w:tblCellMar>
          <w:top w:w="28" w:type="dxa"/>
          <w:left w:w="28" w:type="dxa"/>
          <w:bottom w:w="28" w:type="dxa"/>
          <w:right w:w="28" w:type="dxa"/>
        </w:tblCellMar>
      </w:tblPr>
      <w:tblGrid>
        <w:gridCol w:w="2026"/>
        <w:gridCol w:w="146"/>
        <w:gridCol w:w="228"/>
        <w:gridCol w:w="634"/>
        <w:gridCol w:w="157"/>
        <w:gridCol w:w="157"/>
        <w:gridCol w:w="228"/>
        <w:gridCol w:w="634"/>
        <w:gridCol w:w="146"/>
        <w:gridCol w:w="146"/>
        <w:gridCol w:w="211"/>
        <w:gridCol w:w="586"/>
        <w:gridCol w:w="146"/>
        <w:gridCol w:w="146"/>
        <w:gridCol w:w="211"/>
        <w:gridCol w:w="58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4"/>
        <w:gridCol w:w="146"/>
        <w:gridCol w:w="146"/>
        <w:gridCol w:w="146"/>
        <w:gridCol w:w="146"/>
        <w:gridCol w:w="211"/>
        <w:gridCol w:w="586"/>
        <w:gridCol w:w="286"/>
        <w:gridCol w:w="146"/>
        <w:gridCol w:w="211"/>
        <w:gridCol w:w="586"/>
        <w:gridCol w:w="331"/>
      </w:tblGrid>
      <w:tr>
        <w:trPr/>
        <w:tc>
          <w:tcPr>
            <w:tcW w:w="7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reconciles the future minimum commitments to the Company’s operating lease liabilities at June 30, 2026 (in thousands):</w:t>
      </w:r>
    </w:p>
    <w:tbl>
      <w:tblPr>
        <w:tblW w:w="8027" w:type="dxa"/>
        <w:jc w:val="left"/>
        <w:tblInd w:w="0" w:type="dxa"/>
        <w:tblLayout w:type="fixed"/>
        <w:tblCellMar>
          <w:top w:w="28" w:type="dxa"/>
          <w:left w:w="28" w:type="dxa"/>
          <w:bottom w:w="28" w:type="dxa"/>
          <w:right w:w="28" w:type="dxa"/>
        </w:tblCellMar>
      </w:tblPr>
      <w:tblGrid>
        <w:gridCol w:w="3466"/>
        <w:gridCol w:w="1014"/>
        <w:gridCol w:w="333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 lease payments as of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payments</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June 30, 2026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lease liabilities</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net of current portion</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License Agreements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entered into the following key agreements that relate to the core technology under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Rakuten License and Supply Agreement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pStyle w:val="TextBody"/>
        <w:bidi w:val="0"/>
        <w:jc w:val="both"/>
        <w:rPr/>
      </w:pPr>
      <w:r>
        <w:rPr/>
        <w:t> </w:t>
      </w:r>
    </w:p>
    <w:p>
      <w:pPr>
        <w:pStyle w:val="TextBody"/>
        <w:bidi w:val="0"/>
        <w:jc w:val="both"/>
        <w:rPr>
          <w:rFonts w:ascii="Arial" w:hAnsi="Arial"/>
          <w:color w:val="000000"/>
          <w:sz w:val="20"/>
          <w:u w:val="single"/>
        </w:rPr>
      </w:pPr>
      <w:r>
        <w:rPr>
          <w:rFonts w:ascii="Arial" w:hAnsi="Arial"/>
          <w:color w:val="000000"/>
          <w:sz w:val="20"/>
          <w:u w:val="single"/>
        </w:rPr>
        <w:t>2014 Exclusive Agreement</w:t>
      </w:r>
    </w:p>
    <w:p>
      <w:pPr>
        <w:pStyle w:val="TextBody"/>
        <w:bidi w:val="0"/>
        <w:spacing w:before="80" w:after="283"/>
        <w:jc w:val="both"/>
        <w:rPr>
          <w:rFonts w:ascii="Times New Roman" w:hAnsi="Times New Roman"/>
          <w:sz w:val="20"/>
        </w:rPr>
      </w:pPr>
      <w:r>
        <w:rPr>
          <w:rFonts w:ascii="Arial" w:hAnsi="Arial"/>
          <w:color w:val="000000"/>
          <w:sz w:val="20"/>
        </w:rPr>
        <w:t>In January 2014, the Company entered into an Exclusive License and Supply Agreement, or the 2014 Exclusive Agreement, with LI-COR for the license of IRDye 700DX and related licensed patent (now expired) for the treatment and diagnosis of ocular cancers in humans, as amended in January 2016, July 2017, April 2018 and April 2019. The 2014 Exclusive Agreement required a one-time upfront license issue fee of $0.1</w:t>
      </w:r>
      <w:r>
        <w:rPr>
          <w:rFonts w:ascii="Times New Roman" w:hAnsi="Times New Roman"/>
          <w:color w:val="000000"/>
          <w:sz w:val="20"/>
        </w:rPr>
        <w:t xml:space="preserve"> </w:t>
      </w:r>
      <w:r>
        <w:rPr>
          <w:rFonts w:ascii="Arial" w:hAnsi="Arial"/>
          <w:color w:val="000000"/>
          <w:sz w:val="20"/>
        </w:rPr>
        <w:t>million and aggregate milestone payments of up to $0.2</w:t>
      </w:r>
      <w:r>
        <w:rPr>
          <w:rFonts w:ascii="Times New Roman" w:hAnsi="Times New Roman"/>
          <w:color w:val="000000"/>
          <w:sz w:val="20"/>
        </w:rPr>
        <w:t xml:space="preserve"> </w:t>
      </w:r>
      <w:r>
        <w:rPr>
          <w:rFonts w:ascii="Arial" w:hAnsi="Arial"/>
          <w:color w:val="000000"/>
          <w:sz w:val="20"/>
        </w:rPr>
        <w:t>million upon certain regulatory and development milestones. The Company is also required to pay Rakuten low-single digit royalties on net sales. The term of the 2014 Exclusive Agreement expires on a country-by-country basis, until the longer of (i) ten years</w:t>
      </w:r>
      <w:r>
        <w:rPr>
          <w:rFonts w:ascii="Times New Roman" w:hAnsi="Times New Roman"/>
          <w:color w:val="000000"/>
          <w:sz w:val="20"/>
        </w:rPr>
        <w:t xml:space="preserve"> </w:t>
      </w:r>
      <w:r>
        <w:rPr>
          <w:rFonts w:ascii="Arial" w:hAnsi="Arial"/>
          <w:color w:val="000000"/>
          <w:sz w:val="20"/>
        </w:rPr>
        <w:t>from the first commercial sale of a licensed product in such country and (ii) the last to expire valid claim in such country.</w:t>
      </w:r>
    </w:p>
    <w:p>
      <w:pPr>
        <w:pStyle w:val="TextBody"/>
        <w:bidi w:val="0"/>
        <w:spacing w:before="8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expenses related to this agreement and related amendments for the six months ended June 30, 2026 and 2025, respectively.</w:t>
      </w:r>
    </w:p>
    <w:p>
      <w:pPr>
        <w:pStyle w:val="TextBody"/>
        <w:bidi w:val="0"/>
        <w:spacing w:before="240" w:after="283"/>
        <w:jc w:val="both"/>
        <w:rPr>
          <w:rFonts w:ascii="Times New Roman" w:hAnsi="Times New Roman"/>
          <w:sz w:val="20"/>
        </w:rPr>
      </w:pPr>
      <w:r>
        <w:rPr>
          <w:rFonts w:ascii="Arial" w:hAnsi="Arial"/>
          <w:color w:val="000000"/>
          <w:sz w:val="20"/>
          <w:u w:val="single"/>
        </w:rPr>
        <w:t>2014 Non-Exclusive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w:t>
      </w:r>
      <w:r>
        <w:rPr>
          <w:rFonts w:ascii="Times New Roman" w:hAnsi="Times New Roman"/>
          <w:color w:val="000000"/>
          <w:sz w:val="20"/>
        </w:rPr>
        <w:t xml:space="preserve"> </w:t>
      </w:r>
      <w:r>
        <w:rPr>
          <w:rFonts w:ascii="Arial" w:hAnsi="Arial"/>
          <w:color w:val="000000"/>
          <w:sz w:val="20"/>
        </w:rPr>
        <w:t>million on the effective date. The Company must also pay Rakuten a non-refundable, non-creditable fee of $0.03</w:t>
      </w:r>
      <w:r>
        <w:rPr>
          <w:rFonts w:ascii="Times New Roman" w:hAnsi="Times New Roman"/>
          <w:color w:val="000000"/>
          <w:sz w:val="20"/>
        </w:rPr>
        <w:t xml:space="preserve"> </w:t>
      </w:r>
      <w:r>
        <w:rPr>
          <w:rFonts w:ascii="Arial" w:hAnsi="Arial"/>
          <w:color w:val="000000"/>
          <w:sz w:val="20"/>
        </w:rPr>
        <w:t>million per each licensed product upon pre-IND designation, as defined of such licensed product, aggregate milestone payments of up to $0.3</w:t>
      </w:r>
      <w:r>
        <w:rPr>
          <w:rFonts w:ascii="Times New Roman" w:hAnsi="Times New Roman"/>
          <w:color w:val="000000"/>
          <w:sz w:val="20"/>
        </w:rPr>
        <w:t xml:space="preserve"> </w:t>
      </w:r>
      <w:r>
        <w:rPr>
          <w:rFonts w:ascii="Arial" w:hAnsi="Arial"/>
          <w:color w:val="000000"/>
          <w:sz w:val="20"/>
        </w:rPr>
        <w:t>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w:t>
      </w:r>
      <w:r>
        <w:rPr>
          <w:rFonts w:ascii="Times New Roman" w:hAnsi="Times New Roman"/>
          <w:color w:val="000000"/>
          <w:sz w:val="20"/>
        </w:rPr>
        <w:t xml:space="preserve"> </w:t>
      </w:r>
      <w:r>
        <w:rPr>
          <w:rFonts w:ascii="Arial" w:hAnsi="Arial"/>
          <w:color w:val="000000"/>
          <w:sz w:val="20"/>
        </w:rPr>
        <w:t>million in aggregate. During the six months ended June 30, 2026 and 2025,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expenses related to milestones associated with this agreement.</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Life Technologies Corporation License Agreements</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perpetual license agreement with Life Technologies Corporation, or the Life Technologies, which allows for five</w:t>
      </w:r>
      <w:r>
        <w:rPr>
          <w:rFonts w:ascii="Times New Roman" w:hAnsi="Times New Roman"/>
          <w:color w:val="000000"/>
          <w:sz w:val="20"/>
        </w:rPr>
        <w:t xml:space="preserve"> </w:t>
      </w:r>
      <w:r>
        <w:rPr>
          <w:rFonts w:ascii="Arial" w:hAnsi="Arial"/>
          <w:color w:val="000000"/>
          <w:sz w:val="20"/>
        </w:rPr>
        <w:t>licensed products. Under this agreement the Company is required to pay an initial license fee of $0.1</w:t>
      </w:r>
      <w:r>
        <w:rPr>
          <w:rFonts w:ascii="Times New Roman" w:hAnsi="Times New Roman"/>
          <w:color w:val="000000"/>
          <w:sz w:val="20"/>
        </w:rPr>
        <w:t xml:space="preserve"> </w:t>
      </w:r>
      <w:r>
        <w:rPr>
          <w:rFonts w:ascii="Arial" w:hAnsi="Arial"/>
          <w:color w:val="000000"/>
          <w:sz w:val="20"/>
        </w:rPr>
        <w:t>million for each product. An annual development fee of $0.1</w:t>
      </w:r>
      <w:r>
        <w:rPr>
          <w:rFonts w:ascii="Times New Roman" w:hAnsi="Times New Roman"/>
          <w:color w:val="000000"/>
          <w:sz w:val="20"/>
        </w:rPr>
        <w:t xml:space="preserve"> </w:t>
      </w:r>
      <w:r>
        <w:rPr>
          <w:rFonts w:ascii="Arial" w:hAnsi="Arial"/>
          <w:color w:val="000000"/>
          <w:sz w:val="20"/>
        </w:rPr>
        <w:t>million is due within a year from payment of the initial license fee and due annually or earlier of (i) payment of a commercialization fee or (ii) all development work is terminated. The commercialization fee is a one-time, non-refundable, non-creditable fee of $0.3</w:t>
      </w:r>
      <w:r>
        <w:rPr>
          <w:rFonts w:ascii="Times New Roman" w:hAnsi="Times New Roman"/>
          <w:color w:val="000000"/>
          <w:sz w:val="20"/>
        </w:rPr>
        <w:t xml:space="preserve"> </w:t>
      </w:r>
      <w:r>
        <w:rPr>
          <w:rFonts w:ascii="Arial" w:hAnsi="Arial"/>
          <w:color w:val="000000"/>
          <w:sz w:val="20"/>
        </w:rPr>
        <w:t>million due upon receipt of approval of a licensed product. In the event of a change of control, there will be a change of control fee of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January 2022, the Company entered into the First Amendment to the non-exclusive, perpetual license agreement with Life Technologies for use of the license in an additional indication. The cost of this amendment was a one-time fee of $0.05</w:t>
      </w:r>
      <w:r>
        <w:rPr>
          <w:rFonts w:ascii="Times New Roman" w:hAnsi="Times New Roman"/>
          <w:color w:val="000000"/>
          <w:sz w:val="20"/>
        </w:rPr>
        <w:t xml:space="preserve"> </w:t>
      </w:r>
      <w:r>
        <w:rPr>
          <w:rFonts w:ascii="Arial" w:hAnsi="Arial"/>
          <w:color w:val="000000"/>
          <w:sz w:val="20"/>
        </w:rPr>
        <w:t>million. During the six months ended June 30, 2026 and 2025,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milestones related to this agreement.</w:t>
      </w:r>
    </w:p>
    <w:p>
      <w:pPr>
        <w:pStyle w:val="TextBody"/>
        <w:bidi w:val="0"/>
        <w:spacing w:before="240" w:after="283"/>
        <w:jc w:val="both"/>
        <w:rPr>
          <w:rFonts w:ascii="Times New Roman" w:hAnsi="Times New Roman"/>
          <w:sz w:val="20"/>
        </w:rPr>
      </w:pPr>
      <w:r>
        <w:rPr>
          <w:rFonts w:ascii="Arial" w:hAnsi="Arial"/>
          <w:color w:val="000000"/>
          <w:sz w:val="20"/>
        </w:rPr>
        <w:t>Effective in September 2022, the Company entered into a new non-exclusive, perpetual license agreement with Life Technologies for licensed products. Under this agreement, the Company is required to pay an initial license fee of $0.4</w:t>
      </w:r>
      <w:r>
        <w:rPr>
          <w:rFonts w:ascii="Times New Roman" w:hAnsi="Times New Roman"/>
          <w:color w:val="000000"/>
          <w:sz w:val="20"/>
        </w:rPr>
        <w:t xml:space="preserve"> </w:t>
      </w:r>
      <w:r>
        <w:rPr>
          <w:rFonts w:ascii="Arial" w:hAnsi="Arial"/>
          <w:color w:val="000000"/>
          <w:sz w:val="20"/>
        </w:rPr>
        <w:t>million for the first licensed product and $0.5</w:t>
      </w:r>
      <w:r>
        <w:rPr>
          <w:rFonts w:ascii="Times New Roman" w:hAnsi="Times New Roman"/>
          <w:color w:val="000000"/>
          <w:sz w:val="20"/>
        </w:rPr>
        <w:t xml:space="preserve"> </w:t>
      </w:r>
      <w:r>
        <w:rPr>
          <w:rFonts w:ascii="Arial" w:hAnsi="Arial"/>
          <w:color w:val="000000"/>
          <w:sz w:val="20"/>
        </w:rPr>
        <w:t>million for each additional licensed product. In addition, the agreement allows the Company the right to sublicense which would lead to a $0.2</w:t>
      </w:r>
      <w:r>
        <w:rPr>
          <w:rFonts w:ascii="Times New Roman" w:hAnsi="Times New Roman"/>
          <w:color w:val="000000"/>
          <w:sz w:val="20"/>
        </w:rPr>
        <w:t xml:space="preserve"> </w:t>
      </w:r>
      <w:r>
        <w:rPr>
          <w:rFonts w:ascii="Arial" w:hAnsi="Arial"/>
          <w:color w:val="000000"/>
          <w:sz w:val="20"/>
        </w:rPr>
        <w:t>million payment for each sublicense per licensed product and a $0.03</w:t>
      </w:r>
      <w:r>
        <w:rPr>
          <w:rFonts w:ascii="Times New Roman" w:hAnsi="Times New Roman"/>
          <w:color w:val="000000"/>
          <w:sz w:val="20"/>
        </w:rPr>
        <w:t xml:space="preserve"> </w:t>
      </w:r>
      <w:r>
        <w:rPr>
          <w:rFonts w:ascii="Arial" w:hAnsi="Arial"/>
          <w:color w:val="000000"/>
          <w:sz w:val="20"/>
        </w:rPr>
        <w:t>million payment for use of the cell line document package. In the event of a change of control, there will be a change of control fee of $0.5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six months ended June 30, 2026 and 2025, the Company recognized no</w:t>
      </w:r>
      <w:r>
        <w:rPr>
          <w:rFonts w:ascii="Times New Roman" w:hAnsi="Times New Roman"/>
          <w:color w:val="000000"/>
          <w:sz w:val="20"/>
        </w:rPr>
        <w:t xml:space="preserve"> </w:t>
      </w:r>
      <w:r>
        <w:rPr>
          <w:rFonts w:ascii="Arial" w:hAnsi="Arial"/>
          <w:color w:val="000000"/>
          <w:sz w:val="20"/>
        </w:rPr>
        <w:t>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(NIH)-Collaboration Research and Development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July 2011, the Company entered into a Collaboration Research and Development Agreement, or CRADA, with Dr. John Schiller at the NIH, for a period of two years</w:t>
      </w:r>
      <w:r>
        <w:rPr>
          <w:rFonts w:ascii="Times New Roman" w:hAnsi="Times New Roman"/>
          <w:color w:val="000000"/>
          <w:sz w:val="20"/>
        </w:rPr>
        <w:t xml:space="preserve"> </w:t>
      </w:r>
      <w:r>
        <w:rPr>
          <w:rFonts w:ascii="Arial" w:hAnsi="Arial"/>
          <w:color w:val="000000"/>
          <w:sz w:val="20"/>
        </w:rPr>
        <w:t>with the rights to an exclusive license to all technology generated within the collaboration. Under this agreement, the Company is required to make annual payments of $0.03</w:t>
      </w:r>
      <w:r>
        <w:rPr>
          <w:rFonts w:ascii="Times New Roman" w:hAnsi="Times New Roman"/>
          <w:color w:val="000000"/>
          <w:sz w:val="20"/>
        </w:rPr>
        <w:t xml:space="preserve"> </w:t>
      </w:r>
      <w:r>
        <w:rPr>
          <w:rFonts w:ascii="Arial" w:hAnsi="Arial"/>
          <w:color w:val="000000"/>
          <w:sz w:val="20"/>
        </w:rPr>
        <w:t>million to fund the research activities, the first payment of which was paid within 30</w:t>
      </w:r>
      <w:r>
        <w:rPr>
          <w:rFonts w:ascii="Times New Roman" w:hAnsi="Times New Roman"/>
          <w:color w:val="000000"/>
          <w:sz w:val="20"/>
        </w:rPr>
        <w:t xml:space="preserve"> </w:t>
      </w:r>
      <w:r>
        <w:rPr>
          <w:rFonts w:ascii="Arial" w:hAnsi="Arial"/>
          <w:color w:val="000000"/>
          <w:sz w:val="20"/>
        </w:rPr>
        <w:t>days of the effective date. Subsequent payments are due within 30</w:t>
      </w:r>
      <w:r>
        <w:rPr>
          <w:rFonts w:ascii="Times New Roman" w:hAnsi="Times New Roman"/>
          <w:color w:val="000000"/>
          <w:sz w:val="20"/>
        </w:rPr>
        <w:t xml:space="preserve"> </w:t>
      </w:r>
      <w:r>
        <w:rPr>
          <w:rFonts w:ascii="Arial" w:hAnsi="Arial"/>
          <w:color w:val="000000"/>
          <w:sz w:val="20"/>
        </w:rPr>
        <w:t>days of the anniversary of the effective date. This agreement was previously amended in 2012, 2013, 2014, 2015, 2016, 2018, 2020, and 2022. During the six months ended June 30, 2026 and 2025, the Company paid no</w:t>
      </w:r>
      <w:r>
        <w:rPr>
          <w:rFonts w:ascii="Times New Roman" w:hAnsi="Times New Roman"/>
          <w:color w:val="000000"/>
          <w:sz w:val="20"/>
        </w:rPr>
        <w:t xml:space="preserve"> </w:t>
      </w:r>
      <w:r>
        <w:rPr>
          <w:rFonts w:ascii="Arial" w:hAnsi="Arial"/>
          <w:color w:val="000000"/>
          <w:sz w:val="20"/>
        </w:rPr>
        <w:t>research collaboration fees related to this agreement.</w:t>
      </w:r>
    </w:p>
    <w:p>
      <w:pPr>
        <w:pStyle w:val="TextBody"/>
        <w:bidi w:val="0"/>
        <w:spacing w:before="80" w:after="283"/>
        <w:jc w:val="both"/>
        <w:rPr>
          <w:rFonts w:ascii="Times New Roman" w:hAnsi="Times New Roman"/>
          <w:sz w:val="20"/>
        </w:rPr>
      </w:pPr>
      <w:r>
        <w:rPr>
          <w:rFonts w:ascii="Arial" w:hAnsi="Arial"/>
          <w:color w:val="000000"/>
          <w:sz w:val="20"/>
        </w:rPr>
        <w:t>A ninth amendment was effective in September 2024, requiring payment of $0.06</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November 30, 2024, and payment of another $0.05</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September 30, 2025. This ninth amendment extended the term of the CRADA to September 30, 2026. During the six months ended June 30, 2026 and 2025, the Company did not recognize any 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(NIH)-Exclusive Patent License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September 2013, the Company entered into an exclusive patent license agreement, or the NIH Exclusive License Agreement, with the NIH, that required the Company to pay a license issue royalty of $0.1</w:t>
      </w:r>
      <w:r>
        <w:rPr>
          <w:rFonts w:ascii="Times New Roman" w:hAnsi="Times New Roman"/>
          <w:color w:val="000000"/>
          <w:sz w:val="20"/>
        </w:rPr>
        <w:t xml:space="preserve"> </w:t>
      </w:r>
      <w:r>
        <w:rPr>
          <w:rFonts w:ascii="Arial" w:hAnsi="Arial"/>
          <w:color w:val="000000"/>
          <w:sz w:val="20"/>
        </w:rPr>
        <w:t>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w:t>
      </w:r>
      <w:r>
        <w:rPr>
          <w:rFonts w:ascii="Times New Roman" w:hAnsi="Times New Roman"/>
          <w:color w:val="000000"/>
          <w:sz w:val="20"/>
        </w:rPr>
        <w:t xml:space="preserve"> </w:t>
      </w:r>
      <w:r>
        <w:rPr>
          <w:rFonts w:ascii="Arial" w:hAnsi="Arial"/>
          <w:color w:val="000000"/>
          <w:sz w:val="20"/>
        </w:rPr>
        <w:t>million in aggregate and sales milestone payments up to $0.6</w:t>
      </w:r>
      <w:r>
        <w:rPr>
          <w:rFonts w:ascii="Times New Roman" w:hAnsi="Times New Roman"/>
          <w:color w:val="000000"/>
          <w:sz w:val="20"/>
        </w:rPr>
        <w:t xml:space="preserve"> </w:t>
      </w:r>
      <w:r>
        <w:rPr>
          <w:rFonts w:ascii="Arial" w:hAnsi="Arial"/>
          <w:color w:val="000000"/>
          <w:sz w:val="20"/>
        </w:rPr>
        <w:t>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did not recognize</w:t>
      </w:r>
      <w:r>
        <w:rPr>
          <w:rFonts w:ascii="Times New Roman" w:hAnsi="Times New Roman"/>
          <w:color w:val="000000"/>
          <w:sz w:val="20"/>
        </w:rPr>
        <w:t xml:space="preserve"> </w:t>
      </w:r>
      <w:r>
        <w:rPr>
          <w:rFonts w:ascii="Arial" w:hAnsi="Arial"/>
          <w:color w:val="000000"/>
          <w:sz w:val="20"/>
        </w:rPr>
        <w:t>any patent licensing fees for the six months ended June 30, 2026 and 2025.</w:t>
      </w:r>
    </w:p>
    <w:p>
      <w:pPr>
        <w:pStyle w:val="TextBody"/>
        <w:bidi w:val="0"/>
        <w:spacing w:before="240" w:after="283"/>
        <w:jc w:val="both"/>
        <w:rPr>
          <w:rFonts w:ascii="Times New Roman" w:hAnsi="Times New Roman"/>
          <w:sz w:val="20"/>
        </w:rPr>
      </w:pPr>
      <w:r>
        <w:rPr>
          <w:rFonts w:ascii="Arial" w:hAnsi="Arial"/>
          <w:color w:val="000000"/>
          <w:sz w:val="20"/>
        </w:rPr>
        <w:t>In 2015, 2018 and 2019, the Company amended its exclusive patent license to include updates on the status of the commercial development and update/expand the list of licensed patents and patent applications. Each of those amendments required a $0.03</w:t>
      </w:r>
      <w:r>
        <w:rPr>
          <w:rFonts w:ascii="Times New Roman" w:hAnsi="Times New Roman"/>
          <w:color w:val="000000"/>
          <w:sz w:val="20"/>
        </w:rPr>
        <w:t xml:space="preserve"> </w:t>
      </w:r>
      <w:r>
        <w:rPr>
          <w:rFonts w:ascii="Arial" w:hAnsi="Arial"/>
          <w:color w:val="000000"/>
          <w:sz w:val="20"/>
        </w:rPr>
        <w:t>million payment that the Company paid.</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Inserm-Transfert License Agreement</w:t>
      </w:r>
    </w:p>
    <w:p>
      <w:pPr>
        <w:pStyle w:val="TextBody"/>
        <w:bidi w:val="0"/>
        <w:spacing w:before="80" w:after="283"/>
        <w:jc w:val="both"/>
        <w:rPr>
          <w:rFonts w:ascii="Times New Roman" w:hAnsi="Times New Roman"/>
          <w:sz w:val="20"/>
        </w:rPr>
      </w:pPr>
      <w:r>
        <w:rPr>
          <w:rFonts w:ascii="Arial" w:hAnsi="Arial"/>
          <w:color w:val="000000"/>
          <w:sz w:val="20"/>
        </w:rPr>
        <w:t>In November 2009, the Company entered into an exclusive, royalty-bearing patent license agreement with Inserm-Transfert of France. The agreement expires on a country-by-country basis based on the last to expire of any patent encompassed within the scope of the patent rights or 10</w:t>
      </w:r>
      <w:r>
        <w:rPr>
          <w:rFonts w:ascii="Times New Roman" w:hAnsi="Times New Roman"/>
          <w:color w:val="000000"/>
          <w:sz w:val="20"/>
        </w:rPr>
        <w:t xml:space="preserve"> </w:t>
      </w:r>
      <w:r>
        <w:rPr>
          <w:rFonts w:ascii="Arial" w:hAnsi="Arial"/>
          <w:color w:val="000000"/>
          <w:sz w:val="20"/>
        </w:rPr>
        <w:t>years from the date of the first commercial sales by the Company, whichever is later. The IND filing milestone of €0.01</w:t>
      </w:r>
      <w:r>
        <w:rPr>
          <w:rFonts w:ascii="Times New Roman" w:hAnsi="Times New Roman"/>
          <w:color w:val="000000"/>
          <w:sz w:val="20"/>
        </w:rPr>
        <w:t xml:space="preserve"> </w:t>
      </w:r>
      <w:r>
        <w:rPr>
          <w:rFonts w:ascii="Arial" w:hAnsi="Arial"/>
          <w:color w:val="000000"/>
          <w:sz w:val="20"/>
        </w:rPr>
        <w:t>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June 30, 2026.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expenses related to milestones in the six months ended June 30, 2026 and 2025.</w:t>
      </w:r>
    </w:p>
    <w:p>
      <w:pPr>
        <w:pStyle w:val="TextBody"/>
        <w:bidi w:val="0"/>
        <w:spacing w:before="240" w:after="283"/>
        <w:jc w:val="left"/>
        <w:rPr>
          <w:rFonts w:ascii="Arial" w:hAnsi="Arial"/>
          <w:i/>
          <w:color w:val="000000"/>
          <w:sz w:val="20"/>
        </w:rPr>
      </w:pPr>
      <w:r>
        <w:rPr>
          <w:rFonts w:ascii="Arial" w:hAnsi="Arial"/>
          <w:i/>
          <w:color w:val="000000"/>
          <w:sz w:val="20"/>
        </w:rPr>
        <w:t>Clearside License Agreement</w:t>
      </w:r>
    </w:p>
    <w:p>
      <w:pPr>
        <w:pStyle w:val="TextBody"/>
        <w:bidi w:val="0"/>
        <w:spacing w:before="80" w:after="283"/>
        <w:jc w:val="both"/>
        <w:rPr>
          <w:rFonts w:ascii="Times New Roman" w:hAnsi="Times New Roman"/>
          <w:sz w:val="20"/>
        </w:rPr>
      </w:pPr>
      <w:r>
        <w:rPr>
          <w:rFonts w:ascii="Arial" w:hAnsi="Arial"/>
          <w:color w:val="000000"/>
          <w:sz w:val="20"/>
        </w:rPr>
        <w:t>In July 2019, the Company entered into an exclusive license agreement, as amended, or the Clearside License Agreement, with Clearside Biomedical, Inc., or Clearside Biomedical, for the license of Clearside Biomedical’s Suprachoroidal Microneedle Technology for use in the treatment of indeterminate lesions and choroidal tumors. The Clearside License Agreement was subsequently assigned by Clearside Biomedical to Clearside Royalty LLC, or Clearside. Upon execution of the Clearside License Agreement, the Company paid Clearside Biomedical an upfront payment of $0.1</w:t>
      </w:r>
      <w:r>
        <w:rPr>
          <w:rFonts w:ascii="Times New Roman" w:hAnsi="Times New Roman"/>
          <w:color w:val="000000"/>
          <w:sz w:val="20"/>
        </w:rPr>
        <w:t xml:space="preserve"> </w:t>
      </w:r>
      <w:r>
        <w:rPr>
          <w:rFonts w:ascii="Arial" w:hAnsi="Arial"/>
          <w:color w:val="000000"/>
          <w:sz w:val="20"/>
        </w:rPr>
        <w:t>million which was expensed as incurred. Pursuant to an amendment to the Clearside License Agreement in March 2026, the Company paid Clearside an upfront payment of $1.0</w:t>
      </w:r>
      <w:r>
        <w:rPr>
          <w:rFonts w:ascii="Times New Roman" w:hAnsi="Times New Roman"/>
          <w:color w:val="000000"/>
          <w:sz w:val="20"/>
        </w:rPr>
        <w:t xml:space="preserve"> </w:t>
      </w:r>
      <w:r>
        <w:rPr>
          <w:rFonts w:ascii="Arial" w:hAnsi="Arial"/>
          <w:color w:val="000000"/>
          <w:sz w:val="20"/>
        </w:rPr>
        <w:t>million, and is required to make a one-time payment of $1.5</w:t>
      </w:r>
      <w:r>
        <w:rPr>
          <w:rFonts w:ascii="Times New Roman" w:hAnsi="Times New Roman"/>
          <w:color w:val="000000"/>
          <w:sz w:val="20"/>
        </w:rPr>
        <w:t xml:space="preserve"> </w:t>
      </w:r>
      <w:r>
        <w:rPr>
          <w:rFonts w:ascii="Arial" w:hAnsi="Arial"/>
          <w:color w:val="000000"/>
          <w:sz w:val="20"/>
        </w:rPr>
        <w:t>million upon the occurrence of a specified regulatory achievement. Under the Clearside License Agreement, the Company is also required to pay milestones up to $21.0</w:t>
      </w:r>
      <w:r>
        <w:rPr>
          <w:rFonts w:ascii="Times New Roman" w:hAnsi="Times New Roman"/>
          <w:color w:val="000000"/>
          <w:sz w:val="20"/>
        </w:rPr>
        <w:t xml:space="preserve"> </w:t>
      </w:r>
      <w:r>
        <w:rPr>
          <w:rFonts w:ascii="Arial" w:hAnsi="Arial"/>
          <w:color w:val="000000"/>
          <w:sz w:val="20"/>
        </w:rPr>
        <w:t>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pStyle w:val="TextBody"/>
        <w:bidi w:val="0"/>
        <w:spacing w:before="240" w:after="283"/>
        <w:jc w:val="both"/>
        <w:rPr>
          <w:rFonts w:ascii="Times New Roman" w:hAnsi="Times New Roman"/>
          <w:sz w:val="20"/>
        </w:rPr>
      </w:pPr>
      <w:r>
        <w:rPr>
          <w:rFonts w:ascii="Arial" w:hAnsi="Arial"/>
          <w:color w:val="000000"/>
          <w:sz w:val="20"/>
        </w:rPr>
        <w:t>The Clearside License Agreement expires on a country-by-country basis upon the later of the last to expire patent or ten years</w:t>
      </w:r>
      <w:r>
        <w:rPr>
          <w:rFonts w:ascii="Times New Roman" w:hAnsi="Times New Roman"/>
          <w:color w:val="000000"/>
          <w:sz w:val="20"/>
        </w:rPr>
        <w:t xml:space="preserve"> </w:t>
      </w:r>
      <w:r>
        <w:rPr>
          <w:rFonts w:ascii="Arial" w:hAnsi="Arial"/>
          <w:color w:val="000000"/>
          <w:sz w:val="20"/>
        </w:rPr>
        <w:t>from the date of the first commercial sale of a product.</w:t>
      </w:r>
    </w:p>
    <w:p>
      <w:pPr>
        <w:pStyle w:val="TextBody"/>
        <w:bidi w:val="0"/>
        <w:spacing w:before="240" w:after="283"/>
        <w:jc w:val="both"/>
        <w:rPr>
          <w:rFonts w:ascii="Times New Roman" w:hAnsi="Times New Roman"/>
          <w:sz w:val="20"/>
        </w:rPr>
      </w:pPr>
      <w:r>
        <w:rPr>
          <w:rFonts w:ascii="Arial" w:hAnsi="Arial"/>
          <w:color w:val="000000"/>
          <w:sz w:val="20"/>
        </w:rPr>
        <w:t>The Company recognized $1.0</w:t>
      </w:r>
      <w:r>
        <w:rPr>
          <w:rFonts w:ascii="Times New Roman" w:hAnsi="Times New Roman"/>
          <w:color w:val="000000"/>
          <w:sz w:val="20"/>
        </w:rPr>
        <w:t xml:space="preserve"> </w:t>
      </w:r>
      <w:r>
        <w:rPr>
          <w:rFonts w:ascii="Arial" w:hAnsi="Arial"/>
          <w:color w:val="000000"/>
          <w:sz w:val="20"/>
        </w:rPr>
        <w:t>million in expenses related to the Clearside License Agreement for the six months ended June 30, 2026. The Company did not incur any expenses related to the Clearside License Agreement for the six months ended June 30, 2025.</w:t>
      </w:r>
    </w:p>
    <w:p>
      <w:pPr>
        <w:pStyle w:val="TextBody"/>
        <w:bidi w:val="0"/>
        <w:spacing w:before="240" w:after="283"/>
        <w:jc w:val="left"/>
        <w:rPr>
          <w:rFonts w:ascii="Arial" w:hAnsi="Arial"/>
          <w:b/>
          <w:color w:val="000000"/>
          <w:sz w:val="20"/>
        </w:rPr>
      </w:pPr>
      <w:r>
        <w:rPr>
          <w:rFonts w:ascii="Arial" w:hAnsi="Arial"/>
          <w:b/>
          <w:color w:val="000000"/>
          <w:sz w:val="20"/>
        </w:rPr>
        <w:t>13. Net Loss Per Share</w:t>
      </w:r>
    </w:p>
    <w:p>
      <w:pPr>
        <w:pStyle w:val="TextBody"/>
        <w:bidi w:val="0"/>
        <w:spacing w:before="80" w:after="283"/>
        <w:jc w:val="both"/>
        <w:rPr>
          <w:rFonts w:ascii="Times New Roman" w:hAnsi="Times New Roman"/>
          <w:sz w:val="20"/>
        </w:rPr>
      </w:pPr>
      <w:r>
        <w:rPr>
          <w:rFonts w:ascii="Arial" w:hAnsi="Arial"/>
          <w:color w:val="000000"/>
          <w:sz w:val="20"/>
        </w:rPr>
        <w:t>Basic net loss per share is calculated by dividing the net loss attributable to common stockholders by the weighted average number of shares of common stock outstanding during the period, without consideration for potentially dilutive securities. The Company has included the pre-funded warrants to purchase 3,571,435</w:t>
      </w:r>
      <w:r>
        <w:rPr>
          <w:rFonts w:ascii="Times New Roman" w:hAnsi="Times New Roman"/>
          <w:color w:val="000000"/>
          <w:sz w:val="20"/>
        </w:rPr>
        <w:t xml:space="preserve"> </w:t>
      </w:r>
      <w:r>
        <w:rPr>
          <w:rFonts w:ascii="Arial" w:hAnsi="Arial"/>
          <w:color w:val="000000"/>
          <w:sz w:val="20"/>
        </w:rPr>
        <w:t>and 3,800,000</w:t>
      </w:r>
      <w:r>
        <w:rPr>
          <w:rFonts w:ascii="Times New Roman" w:hAnsi="Times New Roman"/>
          <w:color w:val="000000"/>
          <w:sz w:val="20"/>
        </w:rPr>
        <w:t xml:space="preserve"> </w:t>
      </w:r>
      <w:r>
        <w:rPr>
          <w:rFonts w:ascii="Arial" w:hAnsi="Arial"/>
          <w:color w:val="000000"/>
          <w:sz w:val="20"/>
        </w:rPr>
        <w:t>shares of common stock issued at an exercise price of $0.00001</w:t>
      </w:r>
      <w:r>
        <w:rPr>
          <w:rFonts w:ascii="Times New Roman" w:hAnsi="Times New Roman"/>
          <w:color w:val="000000"/>
          <w:sz w:val="20"/>
        </w:rPr>
        <w:t xml:space="preserve"> </w:t>
      </w:r>
      <w:r>
        <w:rPr>
          <w:rFonts w:ascii="Arial" w:hAnsi="Arial"/>
          <w:color w:val="000000"/>
          <w:sz w:val="20"/>
        </w:rPr>
        <w:t>in connection with the 2025 and 2026 Follow-On Offerings, respectively, in its computation of basic net loss per share. Diluted net loss per share is the same as basic net loss per share for the periods presented since the effects of potentially dilutive securities are antidilutive given the net loss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calculated basic and diluted net loss per share for the three and six months ended June 30, 2026 and 2025 as follows (in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94,863,400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58,015,718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81,231,222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54,092,728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following potentially dilutive securities were excluded from the computation of the diluted net loss per share for the periods presented because their effect would have been antidilutive:</w:t>
      </w:r>
      <w:r>
        <w:rPr>
          <w:rFonts w:ascii="Times New Roman" w:hAnsi="Times New Roman"/>
          <w:color w:val="000000"/>
          <w:sz w:val="20"/>
        </w:rPr>
        <w:t xml:space="preserve"> </w:t>
      </w:r>
    </w:p>
    <w:tbl>
      <w:tblPr>
        <w:tblW w:w="7629" w:type="dxa"/>
        <w:jc w:val="left"/>
        <w:tblInd w:w="0" w:type="dxa"/>
        <w:tblLayout w:type="fixed"/>
        <w:tblCellMar>
          <w:top w:w="28" w:type="dxa"/>
          <w:left w:w="28" w:type="dxa"/>
          <w:bottom w:w="28" w:type="dxa"/>
          <w:right w:w="28" w:type="dxa"/>
        </w:tblCellMar>
      </w:tblPr>
      <w:tblGrid>
        <w:gridCol w:w="4576"/>
        <w:gridCol w:w="146"/>
        <w:gridCol w:w="146"/>
        <w:gridCol w:w="1066"/>
        <w:gridCol w:w="146"/>
        <w:gridCol w:w="146"/>
        <w:gridCol w:w="146"/>
        <w:gridCol w:w="1066"/>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6,860,747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 that vest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4,251,432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2,824,239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11,173,185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3,826,750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25,521,800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13,511,736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14. Income Taxes</w:t>
      </w:r>
    </w:p>
    <w:p>
      <w:pPr>
        <w:pStyle w:val="TextBody"/>
        <w:bidi w:val="0"/>
        <w:spacing w:before="80" w:after="283"/>
        <w:jc w:val="both"/>
        <w:rPr>
          <w:rFonts w:ascii="Times New Roman" w:hAnsi="Times New Roman"/>
          <w:sz w:val="20"/>
        </w:rPr>
      </w:pPr>
      <w:r>
        <w:rPr>
          <w:rFonts w:ascii="Arial" w:hAnsi="Arial"/>
          <w:color w:val="000000"/>
          <w:sz w:val="20"/>
        </w:rPr>
        <w:t>For the six months ended June 30, 2026 and 2025, the Company recorded an income tax provision of $0.04</w:t>
      </w:r>
      <w:r>
        <w:rPr>
          <w:rFonts w:ascii="Times New Roman" w:hAnsi="Times New Roman"/>
          <w:color w:val="000000"/>
          <w:sz w:val="20"/>
        </w:rPr>
        <w:t xml:space="preserve"> </w:t>
      </w:r>
      <w:r>
        <w:rPr>
          <w:rFonts w:ascii="Arial" w:hAnsi="Arial"/>
          <w:color w:val="000000"/>
          <w:sz w:val="20"/>
        </w:rPr>
        <w:t>million and $0.07</w:t>
      </w:r>
      <w:r>
        <w:rPr>
          <w:rFonts w:ascii="Times New Roman" w:hAnsi="Times New Roman"/>
          <w:color w:val="000000"/>
          <w:sz w:val="20"/>
        </w:rPr>
        <w:t xml:space="preserve"> </w:t>
      </w:r>
      <w:r>
        <w:rPr>
          <w:rFonts w:ascii="Arial" w:hAnsi="Arial"/>
          <w:color w:val="000000"/>
          <w:sz w:val="20"/>
        </w:rPr>
        <w:t>million, respectively, resulting in an effective tax rate of 0.1%</w:t>
      </w:r>
      <w:r>
        <w:rPr>
          <w:rFonts w:ascii="Times New Roman" w:hAnsi="Times New Roman"/>
          <w:color w:val="000000"/>
          <w:sz w:val="20"/>
        </w:rPr>
        <w:t xml:space="preserve"> </w:t>
      </w:r>
      <w:r>
        <w:rPr>
          <w:rFonts w:ascii="Arial" w:hAnsi="Arial"/>
          <w:color w:val="000000"/>
          <w:sz w:val="20"/>
        </w:rPr>
        <w:t>in each period. The income tax provision for the six months ended June 30, 2026 is attributable to state and foreign income taxes. The difference in the statutory rate and the effective tax rate is primarily the result of the valuation allowance recorded on all deferred tax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Company’s history of operating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June 30, 2026, the Company had no</w:t>
      </w:r>
      <w:r>
        <w:rPr>
          <w:rFonts w:ascii="Times New Roman" w:hAnsi="Times New Roman"/>
          <w:color w:val="000000"/>
          <w:sz w:val="20"/>
        </w:rPr>
        <w:t xml:space="preserve"> </w:t>
      </w:r>
      <w:r>
        <w:rPr>
          <w:rFonts w:ascii="Arial" w:hAnsi="Arial"/>
          <w:color w:val="000000"/>
          <w:sz w:val="20"/>
        </w:rPr>
        <w:t>unrecognized income tax benefits that would reduce the Company’s effective tax rate if recognized.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15. Segment Reporting</w:t>
      </w:r>
    </w:p>
    <w:p>
      <w:pPr>
        <w:pStyle w:val="TextBody"/>
        <w:bidi w:val="0"/>
        <w:spacing w:before="80" w:after="283"/>
        <w:jc w:val="both"/>
        <w:rPr>
          <w:rFonts w:ascii="Times New Roman" w:hAnsi="Times New Roman"/>
          <w:sz w:val="20"/>
        </w:rPr>
      </w:pPr>
      <w:r>
        <w:rPr>
          <w:rFonts w:ascii="Arial" w:hAnsi="Arial"/>
          <w:color w:val="000000"/>
          <w:sz w:val="20"/>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w:t>
      </w:r>
      <w:r>
        <w:rPr>
          <w:rFonts w:ascii="Times New Roman" w:hAnsi="Times New Roman"/>
          <w:color w:val="000000"/>
          <w:sz w:val="20"/>
        </w:rPr>
        <w:t xml:space="preserve"> </w:t>
      </w:r>
      <w:r>
        <w:rPr>
          <w:rFonts w:ascii="Arial" w:hAnsi="Arial"/>
          <w:color w:val="000000"/>
          <w:sz w:val="20"/>
        </w:rPr>
        <w:t>reportable segment which includes all activities related to the research and development of ocular and urologic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unaudited condensed consolidated balance sheets as cash and cash equivalents and marketable securities.</w:t>
      </w:r>
    </w:p>
    <w:p>
      <w:pPr>
        <w:pStyle w:val="TextBody"/>
        <w:bidi w:val="0"/>
        <w:spacing w:before="240" w:after="283"/>
        <w:jc w:val="both"/>
        <w:rPr>
          <w:rFonts w:ascii="Times New Roman" w:hAnsi="Times New Roman"/>
          <w:sz w:val="20"/>
        </w:rPr>
      </w:pPr>
      <w:r>
        <w:rPr>
          <w:rFonts w:ascii="Arial" w:hAnsi="Arial"/>
          <w:color w:val="000000"/>
          <w:sz w:val="20"/>
        </w:rPr>
        <w:t>As a single reportable segment entity, the Company’s segment performance measure is consolidated net loss.</w:t>
      </w:r>
      <w:r>
        <w:rPr>
          <w:rFonts w:ascii="Times New Roman" w:hAnsi="Times New Roman"/>
          <w:color w:val="000000"/>
          <w:sz w:val="20"/>
        </w:rPr>
        <w:t xml:space="preserve"> </w:t>
      </w:r>
      <w:r>
        <w:rPr>
          <w:rFonts w:ascii="Arial" w:hAnsi="Arial"/>
          <w:color w:val="000000"/>
          <w:sz w:val="20"/>
        </w:rPr>
        <w:t>Significant segment expenses are presented below.</w:t>
      </w:r>
    </w:p>
    <w:tbl>
      <w:tblPr>
        <w:tblW w:w="9862" w:type="dxa"/>
        <w:jc w:val="left"/>
        <w:tblInd w:w="0" w:type="dxa"/>
        <w:tblLayout w:type="fixed"/>
        <w:tblCellMar>
          <w:top w:w="28" w:type="dxa"/>
          <w:left w:w="28" w:type="dxa"/>
          <w:bottom w:w="28" w:type="dxa"/>
          <w:right w:w="28" w:type="dxa"/>
        </w:tblCellMar>
      </w:tblPr>
      <w:tblGrid>
        <w:gridCol w:w="4181"/>
        <w:gridCol w:w="146"/>
        <w:gridCol w:w="211"/>
        <w:gridCol w:w="751"/>
        <w:gridCol w:w="166"/>
        <w:gridCol w:w="146"/>
        <w:gridCol w:w="211"/>
        <w:gridCol w:w="751"/>
        <w:gridCol w:w="166"/>
        <w:gridCol w:w="146"/>
        <w:gridCol w:w="211"/>
        <w:gridCol w:w="751"/>
        <w:gridCol w:w="166"/>
        <w:gridCol w:w="146"/>
        <w:gridCol w:w="211"/>
        <w:gridCol w:w="751"/>
        <w:gridCol w:w="751"/>
      </w:tblGrid>
      <w:tr>
        <w:trPr/>
        <w:tc>
          <w:tcPr>
            <w:tcW w:w="4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Clinical, Preclinical, and R&amp;D Operations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(33,197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Chemistry, Manufacturing, and Controls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(13,028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Segment Items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(54,502</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5"/>
        </w:rPr>
      </w:pPr>
      <w:r>
        <w:rPr>
          <w:rFonts w:ascii="Arial" w:hAnsi="Arial"/>
          <w:color w:val="000000"/>
          <w:sz w:val="15"/>
        </w:rPr>
        <w:t>(1) Includes depreciation expense directly allocated to respective activities.</w:t>
      </w:r>
    </w:p>
    <w:p>
      <w:pPr>
        <w:pStyle w:val="TextBody"/>
        <w:bidi w:val="0"/>
        <w:jc w:val="both"/>
        <w:rPr>
          <w:rFonts w:ascii="Arial" w:hAnsi="Arial"/>
          <w:color w:val="000000"/>
          <w:sz w:val="15"/>
        </w:rPr>
      </w:pPr>
      <w:r>
        <w:rPr>
          <w:rFonts w:ascii="Arial" w:hAnsi="Arial"/>
          <w:color w:val="000000"/>
          <w:sz w:val="15"/>
        </w:rPr>
        <w:t>(2) Other segment items primarily include interest and accretion income, realized gains and losses, and income taxes.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16. Subsequent Events</w:t>
      </w:r>
    </w:p>
    <w:p>
      <w:pPr>
        <w:pStyle w:val="TextBody"/>
        <w:bidi w:val="0"/>
        <w:spacing w:before="80" w:after="283"/>
        <w:jc w:val="both"/>
        <w:rPr>
          <w:rFonts w:ascii="Arial" w:hAnsi="Arial"/>
          <w:color w:val="000000"/>
          <w:sz w:val="20"/>
        </w:rPr>
      </w:pPr>
      <w:r>
        <w:rPr>
          <w:rFonts w:ascii="Arial" w:hAnsi="Arial"/>
          <w:color w:val="000000"/>
          <w:sz w:val="20"/>
        </w:rPr>
        <w:t>Subsequent events have been evaluated through the date of filing of the unaudited condensed consolidated financial statements. The Company has identified the following subsequent events:</w:t>
      </w:r>
    </w:p>
    <w:p>
      <w:pPr>
        <w:pStyle w:val="TextBody"/>
        <w:bidi w:val="0"/>
        <w:spacing w:before="240" w:after="160"/>
        <w:jc w:val="left"/>
        <w:rPr>
          <w:rFonts w:ascii="Arial" w:hAnsi="Arial"/>
          <w:b/>
          <w:color w:val="000000"/>
          <w:sz w:val="20"/>
        </w:rPr>
      </w:pPr>
      <w:r>
        <w:rPr>
          <w:rFonts w:ascii="Arial" w:hAnsi="Arial"/>
          <w:b/>
          <w:color w:val="000000"/>
          <w:sz w:val="20"/>
        </w:rPr>
        <w:t xml:space="preserve">Restructuring Plan </w:t>
      </w:r>
    </w:p>
    <w:p>
      <w:pPr>
        <w:pStyle w:val="TextBody"/>
        <w:bidi w:val="0"/>
        <w:spacing w:before="0" w:after="160"/>
        <w:jc w:val="left"/>
        <w:rPr>
          <w:rFonts w:ascii="Times New Roman" w:hAnsi="Times New Roman"/>
          <w:sz w:val="20"/>
        </w:rPr>
      </w:pPr>
      <w:r>
        <w:rPr>
          <w:rFonts w:ascii="Arial" w:hAnsi="Arial"/>
          <w:color w:val="000000"/>
          <w:sz w:val="20"/>
        </w:rPr>
        <w:t>In August 2026, the Company, with the approval of the Board of Directors and executive management, developed an enterprise-wide restructuring plan intended to streamline its operating plan and organizational structure to align resources behind its ocular oncology portfolio. In connection with this restructuring plan, the Company estimates to incur restructuring charges of approximately $2.9</w:t>
      </w:r>
      <w:r>
        <w:rPr>
          <w:rFonts w:ascii="Times New Roman" w:hAnsi="Times New Roman"/>
          <w:color w:val="000000"/>
          <w:sz w:val="20"/>
        </w:rPr>
        <w:t xml:space="preserve"> </w:t>
      </w:r>
      <w:r>
        <w:rPr>
          <w:rFonts w:ascii="Arial" w:hAnsi="Arial"/>
          <w:color w:val="000000"/>
          <w:sz w:val="20"/>
        </w:rPr>
        <w:t>million to $3.2</w:t>
      </w:r>
      <w:r>
        <w:rPr>
          <w:rFonts w:ascii="Times New Roman" w:hAnsi="Times New Roman"/>
          <w:color w:val="000000"/>
          <w:sz w:val="20"/>
        </w:rPr>
        <w:t xml:space="preserve"> </w:t>
      </w:r>
      <w:r>
        <w:rPr>
          <w:rFonts w:ascii="Arial" w:hAnsi="Arial"/>
          <w:color w:val="000000"/>
          <w:sz w:val="20"/>
        </w:rPr>
        <w:t>million, comprised of employee termination benefits which include severance, continuation of health care benefits, and outplacement services as well as incremental stock-based compensation expense resulting from the acceleration of vesting of certain stock-based awards. The restructuring plan is expected to be substantially complete by the end of the third quarter of 2026.</w:t>
      </w:r>
    </w:p>
    <w:p>
      <w:pPr>
        <w:pStyle w:val="TextBody"/>
        <w:bidi w:val="0"/>
        <w:spacing w:before="80" w:after="160"/>
        <w:jc w:val="left"/>
        <w:rPr>
          <w:rFonts w:ascii="Arial" w:hAnsi="Arial"/>
          <w:b/>
          <w:color w:val="000000"/>
          <w:sz w:val="20"/>
        </w:rPr>
      </w:pPr>
      <w:r>
        <w:rPr>
          <w:rFonts w:ascii="Arial" w:hAnsi="Arial"/>
          <w:b/>
          <w:color w:val="000000"/>
          <w:sz w:val="20"/>
        </w:rPr>
        <w:t xml:space="preserve">Charter Amendment </w:t>
      </w:r>
    </w:p>
    <w:p>
      <w:pPr>
        <w:pStyle w:val="TextBody"/>
        <w:bidi w:val="0"/>
        <w:spacing w:before="0" w:after="160"/>
        <w:jc w:val="left"/>
        <w:rPr>
          <w:rFonts w:ascii="Times New Roman" w:hAnsi="Times New Roman"/>
          <w:sz w:val="20"/>
        </w:rPr>
      </w:pPr>
      <w:r>
        <w:rPr>
          <w:rFonts w:ascii="Arial" w:hAnsi="Arial"/>
          <w:color w:val="000000"/>
          <w:sz w:val="20"/>
        </w:rPr>
        <w:t>On August 5, 2026, the Company held a Special Meeting of Stockholders, or the Special Meeting, to (i) approve an amendment to the Company’s Tenth Amended and Restated Certificate of Incorporation to increase the number of authorized shares of common stock from 150,000,000</w:t>
      </w:r>
      <w:r>
        <w:rPr>
          <w:rFonts w:ascii="Times New Roman" w:hAnsi="Times New Roman"/>
          <w:color w:val="000000"/>
          <w:sz w:val="20"/>
        </w:rPr>
        <w:t xml:space="preserve"> </w:t>
      </w:r>
      <w:r>
        <w:rPr>
          <w:rFonts w:ascii="Arial" w:hAnsi="Arial"/>
          <w:color w:val="000000"/>
          <w:sz w:val="20"/>
        </w:rPr>
        <w:t>to 500,000,000, or the Charter Amendment, and (ii) to approve an amendment to the evergreen provision in the 2021 Plan to provide that any of the Company’s outstanding pre-funded warrants will be added to the total number of shares of common stock that are issued and outstanding as of each December 31 for purposes of the evergreen formula used in calculating the annual increase in the shares available to grant under the 2021 Plan. Stockholders approved both proposals and the Company filed the Charter Amendment on August 5, 2026.</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0" w:name="item_2_management_discussion_analysis"/>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24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are a clinical-stage biotechnology company developing precision therapies to treat solid tumors designed to preserve organ function. Our lead candidate bel-sar is in late-stage clinical development for the treatment of patients with early choroidal melanoma (defined as small choroidal melanoma and/or indeterminate lesions) and is also in clinical development for other ocular oncology indications.</w:t>
      </w:r>
    </w:p>
    <w:p>
      <w:pPr>
        <w:pStyle w:val="TextBody"/>
        <w:bidi w:val="0"/>
        <w:spacing w:before="240" w:after="283"/>
        <w:jc w:val="both"/>
        <w:rPr>
          <w:rFonts w:ascii="Times New Roman" w:hAnsi="Times New Roman"/>
          <w:sz w:val="20"/>
        </w:rPr>
      </w:pPr>
      <w:r>
        <w:rPr>
          <w:rFonts w:ascii="Arial" w:hAnsi="Arial"/>
          <w:color w:val="000000"/>
          <w:sz w:val="20"/>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Moreover, we intend to assess the safety and efficacy of bel-sar in treating a range of other solid tumors, beginning with metastases to the choroid where bel-sar is in clinical development as well as cancers of the ocular surface. We believe bel-sar, if approved, has the potential to change the current treatment paradigm for patients with ocular cancers and other solid tumors.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Bel-sar has shown promising clinical benefit and has been generally well-tolerated in clinical trials to date. In a Phase 2 study (ClinicalTrials.gov ID: NCT04417530) evaluating suprachoroidal, or SC, administration of bel-sar for the first-line treatment of early choroidal melanoma, patients were closely monitored over a twelve-month follow-up period to assess tumor control, visual acuity preservation, and tumor growth rate. A total of 22 patients were enrolled in the study. Bel-sar achieved an 80% tumor control rate (n=8/10) among Phase 3-eligible patients who received the therapeutic regimen, with complete cessation of growth following treatment among responders (post-treatment average growth rate of 0.011 mm/yr among responders compared to 0.351 mm/yr prior to study entry; p&lt;0.0001). Visual acuity preservation was achieved in 90% of these ten patients. Importantly, 80% of these ten patients were at high risk for vision loss with tumors close to the fovea or optic disc, highlighting the potential for vision preservation with this novel class of drugs. The safety profile of bel-sar was favorable in all participants regardless of dose. We believe the Phase 2 results are a significant achievement considering the typically poor prognosis associated with choroidal melanoma, a rare and life-threatening ocular cancer, where there are no approved vision-preserving therapies to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believe bel-sar has the possibility to transform the field of ocular oncology beyond choroidal melanoma and we are expanding clinical development in two additional indications: metastases to the choroid and cancers of the ocular surface. We continue to enroll patients in an ongoing Phase 2 clinical trial in metastases to the choroid and are initiating a Phase 1 proof-of-concept trial in cancers of the ocular surface.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Virus-like drug conjugates, or 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virus-like particles, or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pStyle w:val="TextBody"/>
        <w:bidi w:val="0"/>
        <w:spacing w:before="240" w:after="283"/>
        <w:jc w:val="both"/>
        <w:rPr>
          <w:rFonts w:ascii="Arial" w:hAnsi="Arial"/>
          <w:color w:val="000000"/>
          <w:sz w:val="20"/>
          <w:u w:val="single"/>
        </w:rPr>
      </w:pPr>
      <w:r>
        <w:rPr>
          <w:rFonts w:ascii="Arial" w:hAnsi="Arial"/>
          <w:color w:val="000000"/>
          <w:sz w:val="20"/>
          <w:u w:val="single"/>
        </w:rPr>
        <w:t>NMIBC Program Update</w:t>
      </w:r>
    </w:p>
    <w:p>
      <w:pPr>
        <w:pStyle w:val="TextBody"/>
        <w:bidi w:val="0"/>
        <w:spacing w:before="240" w:after="283"/>
        <w:jc w:val="both"/>
        <w:rPr>
          <w:rFonts w:ascii="Times New Roman" w:hAnsi="Times New Roman"/>
          <w:sz w:val="20"/>
        </w:rPr>
      </w:pPr>
      <w:r>
        <w:rPr>
          <w:rFonts w:ascii="Arial" w:hAnsi="Arial"/>
          <w:color w:val="000000"/>
          <w:sz w:val="20"/>
        </w:rPr>
        <w:t>In August 2026, we announced interim data from the ongoing Phase 1b/2 dose-escalation study of bel-sar in non-muscle invasive bladder cancer (NMIBC), which demonstrated an encouraging early clinical profile. Among intermediate-risk patients treated with bel-sar alone (n=8) or with TURBT (n=8), 81% of patients achieved an objective response at 3 months, including 69% with a complete response at that timepoint. Responses have shown strong early durability: among evaluable patients who have reached the 9- (n=4) or 12-months (n=3) timepoints, 100% of evaluable patients remain disease-free at time of assessment. Three-month data collection is ongoing in the high-risk cohorts.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Bel-sar demonstrated a favorable safety profile, with all treatment-related adverse events limited to Grade 1 events, no dose-limiting toxicities, and no treatment-related serious adverse events. We believe these data provide encouraging early clinical proof-of-concept for intratumoral delivery of bel-sar and support the potential utility of this route of administration for ocular cancers.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these early data are encouraging, as part of our strategic refocus on ocular oncology, we are minimizing resource allocation toward the NMIBC program on a going forward basis. We remain committed to the care of patients and intends to complete data collection through the protocol-defined 12-month follow-up period to preserve optionality for value creation in the context of future potential strategic discussions.</w:t>
      </w:r>
    </w:p>
    <w:p>
      <w:pPr>
        <w:pStyle w:val="TextBody"/>
        <w:bidi w:val="0"/>
        <w:spacing w:before="240" w:after="283"/>
        <w:jc w:val="both"/>
        <w:rPr>
          <w:rFonts w:ascii="Arial" w:hAnsi="Arial"/>
          <w:color w:val="000000"/>
          <w:sz w:val="20"/>
          <w:u w:val="single"/>
        </w:rPr>
      </w:pPr>
      <w:r>
        <w:rPr>
          <w:rFonts w:ascii="Arial" w:hAnsi="Arial"/>
          <w:color w:val="000000"/>
          <w:sz w:val="20"/>
          <w:u w:val="single"/>
        </w:rPr>
        <w:t>Organizational and Leadership Updates</w:t>
      </w:r>
    </w:p>
    <w:p>
      <w:pPr>
        <w:pStyle w:val="TextBody"/>
        <w:bidi w:val="0"/>
        <w:spacing w:before="240" w:after="283"/>
        <w:jc w:val="both"/>
        <w:rPr>
          <w:rFonts w:ascii="Times New Roman" w:hAnsi="Times New Roman"/>
          <w:sz w:val="20"/>
        </w:rPr>
      </w:pPr>
      <w:r>
        <w:rPr>
          <w:rFonts w:ascii="Arial" w:hAnsi="Arial"/>
          <w:color w:val="000000"/>
          <w:sz w:val="20"/>
        </w:rPr>
        <w:t>In August 2026, our Board of Directors approved a plan to streamline our operating plan and organizational structure to focus resources in ocular oncology, including a reduction in force of approximately 20% of our workforce.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August 2026, we also announced the appointments of Susan Abu-Absi as Chief Operating Officer, Erica Kratz as Chief Regulatory and Quality Officer, and Julie Person as Chief People Officer.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u w:val="single"/>
        </w:rPr>
      </w:pPr>
      <w:r>
        <w:rPr>
          <w:rFonts w:ascii="Arial" w:hAnsi="Arial"/>
          <w:color w:val="000000"/>
          <w:sz w:val="20"/>
          <w:u w:val="single"/>
        </w:rPr>
        <w:t>Financing History</w:t>
      </w:r>
    </w:p>
    <w:p>
      <w:pPr>
        <w:pStyle w:val="TextBody"/>
        <w:bidi w:val="0"/>
        <w:spacing w:before="240" w:after="283"/>
        <w:jc w:val="both"/>
        <w:rPr>
          <w:rFonts w:ascii="Times New Roman" w:hAnsi="Times New Roman"/>
          <w:sz w:val="20"/>
        </w:rPr>
      </w:pPr>
      <w:r>
        <w:rPr>
          <w:rFonts w:ascii="Arial" w:hAnsi="Arial"/>
          <w:color w:val="000000"/>
          <w:sz w:val="20"/>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and maintaining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June 30, 2026, we have raised an aggregate of approximately $797.9 million of gross proceeds primarily from private placements of our equity and convertible preferred stock as well as through the issuance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May 5, 2026, we issued and sold (i) 46,099,650 shares of common stock, which includes 6,508,650 shares sold upon the underwriters’ exercise in full of their option to purchase additional shares of common stock on May 4, 2026, at a price to the public of $6.00 per share, and (ii) in lieu of common stock to certain investors, pre-funded warrants to purchase an aggregate of up to 3,800,000 shares of common stock at a price to the public of $5.99999 per pre-funded warrant, or the 2026 Follow-On Offering. We received approximately $280.8 million in net proceeds from the 2026 Follow-On Offering after deducting underwriting discounts and commissions and offering expenses, of which approximately $39.0 million were used to repurchase 6,922,870 shares from Matrix Capital Management Master Fund, LP, or Matrix, at a price per share of $5.64, on May 7, 2026, or the Matrix Repurchase.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May 16, 2025, we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hAnsi="Arial"/>
          <w:color w:val="000000"/>
          <w:sz w:val="13"/>
        </w:rPr>
        <w:t>SM</w:t>
      </w:r>
      <w:r>
        <w:rPr>
          <w:rFonts w:ascii="Arial" w:hAnsi="Arial"/>
          <w:color w:val="000000"/>
          <w:sz w:val="20"/>
        </w:rPr>
        <w:t>, or the Sales Agreement, with Jefferies LLC, or the Sales Agent, to provide for the offering, issuance and sale by us of up to an aggregate of $75.0 million of our common stock from time to time in “at-the-market” offerings, or the ATM, under the 2022 Shelf and subject to the limitations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2023 Follow-On Offering, on November 6, 2023, we delivered written notice to Jefferies that we were suspending and terminating the prospectus related to the shares issuable in the ATM pursuant to the terms of the Sales Agreement.</w:t>
      </w:r>
      <w:r>
        <w:rPr>
          <w:rFonts w:ascii="Times New Roman" w:hAnsi="Times New Roman"/>
          <w:color w:val="000000"/>
          <w:sz w:val="20"/>
        </w:rPr>
        <w:t xml:space="preserve"> </w:t>
      </w:r>
      <w:r>
        <w:rPr>
          <w:rFonts w:ascii="Arial" w:hAnsi="Arial"/>
          <w:color w:val="000000"/>
          <w:sz w:val="20"/>
        </w:rPr>
        <w:t>During the year ended December 31, 2023, we issued a total of 261,807 shares of common stock at a weighted average price of $12.49 for aggregate gross proceeds of $3.3 million under the ATM.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connection with the 2026 Follow-On Offering, we filed a related registration statement to the 2024 Shelf pursuant to Rule 462(b), which was filed with the SEC and effective on May 4, 2026. We did not issue any shares of common stock during the six months ended June 30, 2026 under the ATM, and issued 1,055,362 shares of common stock at a weighted average price of $6.36 for aggregate gross proceeds of $6.7 million during the year ended December 31, 2025 under the ATM. In connection with the 2026 Follow-On Offering, on May 4, 2026, we delivered written notice to Jefferies that we were suspending and terminating the prospectus related to the shares issuable in the ATM pursuant to the terms of the Sales Agreement.</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$79.3 million and $54.5 million for the six months ended June 30, 2026 and 2025, respectively. As of June 30, 2026, we had an accumulated deficit of $559.7 million. In addition, our losses from operations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conduct our current and future clinical trials of bel-sar;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progress the preclinical and clinical development of new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 our manufacturing capability, including establishing and developing our contract development and manufacturing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to identify and develop additional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expand our operational, financial, and management systems and increase personnel, including personnel to support our preclinical and clinical development, manufacturing and commercialization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maintain, expand and protect our intellectual property portfolio;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incur additional legal, accounting, or other expenses in operating our business, including the additional costs associated with operating as a public company. </w:t>
      </w:r>
    </w:p>
    <w:p>
      <w:pPr>
        <w:pStyle w:val="TextBody"/>
        <w:bidi w:val="0"/>
        <w:spacing w:before="240" w:after="283"/>
        <w:jc w:val="both"/>
        <w:rPr>
          <w:rFonts w:ascii="Times New Roman" w:hAnsi="Times New Roman"/>
          <w:sz w:val="20"/>
        </w:rPr>
      </w:pPr>
      <w:r>
        <w:rPr>
          <w:rFonts w:ascii="Arial" w:hAnsi="Arial"/>
          <w:color w:val="000000"/>
          <w:sz w:val="20"/>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As of June 30, 2026, we had cash and cash equivalents and marketable securities of $323.8 million. We believe that our existing cash and cash equivalents and marketable securities will enable us to fund our operations into the first half of 2029. We have based this estimate on assumptions that may prove to be wrong, and we could exhaust our available capital resources sooner than we expect. See </w:t>
      </w:r>
      <w:r>
        <w:rPr>
          <w:rFonts w:ascii="Times New Roman" w:hAnsi="Times New Roman"/>
          <w:color w:val="000000"/>
          <w:sz w:val="20"/>
        </w:rPr>
        <w:t>“</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w:t>
      </w:r>
    </w:p>
    <w:p>
      <w:pPr>
        <w:pStyle w:val="TextBody"/>
        <w:bidi w:val="0"/>
        <w:spacing w:before="240" w:after="283"/>
        <w:jc w:val="both"/>
        <w:rPr>
          <w:rFonts w:ascii="Times New Roman" w:hAnsi="Times New Roman"/>
          <w:sz w:val="20"/>
        </w:rPr>
      </w:pPr>
      <w:r>
        <w:rPr>
          <w:rFonts w:ascii="Arial" w:hAnsi="Arial"/>
          <w:b/>
          <w:color w:val="000000"/>
          <w:sz w:val="20"/>
        </w:rPr>
        <w:t>Components of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or from collaboration or licensing agreements, if at all. We may never succeed in obtaining regulatory approval and may never enter into collaboration or licensing agreements for any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Research and development expenses consist primarily of costs incurred for our research activities, including our discovery efforts and the development of our bel-sar program, and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employee-related expenses, including salaries, benefits and stock-based compensation expense for employees engaged in research and development functions;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fees paid to consultants for services directly related to our product development and regulatory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associated with conducting preclinical studies and clinical trials performed by ourselves, outside vendors or academic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incurred under agreements with contract research organizations, or CROs, as well as consultants that conduct and provide supplies for our preclinical studies and clinical trials;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bel-sar, including the cost of CDMOs that manufacture product for use in our preclinical studies and clinical trials and perform analytical testing, scale-up and other services in connection with our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preclinical activities and clinical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our intellectual property portfolio;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related to compliance with regulatory requirements;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allocated expenses for utilities and other facility-related costs. </w:t>
      </w:r>
    </w:p>
    <w:p>
      <w:pPr>
        <w:pStyle w:val="TextBody"/>
        <w:bidi w:val="0"/>
        <w:spacing w:before="240" w:after="283"/>
        <w:jc w:val="both"/>
        <w:rPr>
          <w:rFonts w:ascii="Times New Roman" w:hAnsi="Times New Roman"/>
          <w:sz w:val="20"/>
        </w:rPr>
      </w:pPr>
      <w:r>
        <w:rPr>
          <w:rFonts w:ascii="Arial" w:hAnsi="Arial"/>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our general and administrative expenses will increase in the near term as we continue to build a team to support our administrative, accounting and finance, communications, commercial strategy, legal and business development efforts. We expect to incur increased expenses associated with our growth, including costs of accounting, audit, legal, regulatory and tax compliance services; director and officer insurance costs; and investor and public relations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Other Income (Expense)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other income (expense) consists of accretion, interest income and realized gains and losses on marketable securities, interest income on our invested cash balances, and gains and losses on disposals of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Income Tax Provision, Net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For the year ended December 31, 2025, we recorded a $0.1 million income tax provision related to current state income taxes. Since our inception, we have not recorded any U.S. federal or state tax benefits for our net operating loss carryforwards or research and development tax credits due to the realizability of future taxable income to utilize these tax attributes. As of December 31, 2025, we had accumulated federal and state net operating loss carryforwards of approximately $318.9 million and $274.4 million, respectively, which may be available to offset future taxable income before applicable expiration periods. As of December 31, 2025, we had federal and state research and development credit carryforwards of $8.5 million and $3.8 million, respectively, which may be available to offset future income tax liabilities before applicable expiration periods. Additionally, we had $20.4 million of federal orphan drug credits that begin to expire in 2039. We have recorded a full valuation allowance against the tax benefits, as the determination of the realization of the deferred tax assets was not determined to be more likely than not.</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following table summarizes our results of operations for the three months ended June 30, 2026 and 2025:</w:t>
      </w:r>
    </w:p>
    <w:tbl>
      <w:tblPr>
        <w:tblW w:w="10088" w:type="dxa"/>
        <w:jc w:val="left"/>
        <w:tblInd w:w="0" w:type="dxa"/>
        <w:tblLayout w:type="fixed"/>
        <w:tblCellMar>
          <w:top w:w="28" w:type="dxa"/>
          <w:left w:w="28" w:type="dxa"/>
          <w:bottom w:w="28" w:type="dxa"/>
          <w:right w:w="28" w:type="dxa"/>
        </w:tblCellMar>
      </w:tblPr>
      <w:tblGrid>
        <w:gridCol w:w="5681"/>
        <w:gridCol w:w="146"/>
        <w:gridCol w:w="211"/>
        <w:gridCol w:w="751"/>
        <w:gridCol w:w="166"/>
        <w:gridCol w:w="146"/>
        <w:gridCol w:w="211"/>
        <w:gridCol w:w="751"/>
        <w:gridCol w:w="166"/>
        <w:gridCol w:w="146"/>
        <w:gridCol w:w="211"/>
        <w:gridCol w:w="751"/>
        <w:gridCol w:w="751"/>
      </w:tblGrid>
      <w:tr>
        <w:trPr/>
        <w:tc>
          <w:tcPr>
            <w:tcW w:w="5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(18,618</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research and development expenses for the three months ended June 30, 2026 and 2025:</w:t>
      </w:r>
      <w:r>
        <w:rPr>
          <w:rFonts w:ascii="Times New Roman" w:hAnsi="Times New Roman"/>
          <w:color w:val="000000"/>
          <w:sz w:val="20"/>
        </w:rPr>
        <w:t xml:space="preserve"> </w:t>
      </w:r>
    </w:p>
    <w:tbl>
      <w:tblPr>
        <w:tblW w:w="8467" w:type="dxa"/>
        <w:jc w:val="left"/>
        <w:tblInd w:w="0" w:type="dxa"/>
        <w:tblLayout w:type="fixed"/>
        <w:tblCellMar>
          <w:top w:w="28" w:type="dxa"/>
          <w:left w:w="28" w:type="dxa"/>
          <w:bottom w:w="28" w:type="dxa"/>
          <w:right w:w="28" w:type="dxa"/>
        </w:tblCellMar>
      </w:tblPr>
      <w:tblGrid>
        <w:gridCol w:w="4371"/>
        <w:gridCol w:w="146"/>
        <w:gridCol w:w="211"/>
        <w:gridCol w:w="691"/>
        <w:gridCol w:w="146"/>
        <w:gridCol w:w="146"/>
        <w:gridCol w:w="211"/>
        <w:gridCol w:w="691"/>
        <w:gridCol w:w="146"/>
        <w:gridCol w:w="146"/>
        <w:gridCol w:w="214"/>
        <w:gridCol w:w="597"/>
        <w:gridCol w:w="75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Manufacturing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to $30.7 million for the three months ended June 30, 2026 from $22.9 million for the three months ended June 30, 2025, primarily due to ongoing clinical and CRO costs associated with the progression of our global Phase 3 trial of bel-sar in early choroidal melanoma and manufacturing and development costs for bel-sar.</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General and administrative expenses increased to $17.3 million for the three months ended June 30, 2026 from $5.7 million for the three months ended June 30, 2025, primarily driven by increased stock-based compensation expense resulting from equity award modifications in connection with executive leadership transitions, as well as higher professional fees.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following table summarizes our results of operations for the six months ended June 30, 2026 and 2025:</w:t>
      </w:r>
    </w:p>
    <w:p>
      <w:pPr>
        <w:pStyle w:val="TextBody"/>
        <w:bidi w:val="0"/>
        <w:jc w:val="both"/>
        <w:rPr/>
      </w:pPr>
      <w:r>
        <w:rPr/>
        <w:t> </w:t>
      </w:r>
    </w:p>
    <w:tbl>
      <w:tblPr>
        <w:tblW w:w="10088" w:type="dxa"/>
        <w:jc w:val="left"/>
        <w:tblInd w:w="0" w:type="dxa"/>
        <w:tblLayout w:type="fixed"/>
        <w:tblCellMar>
          <w:top w:w="28" w:type="dxa"/>
          <w:left w:w="28" w:type="dxa"/>
          <w:bottom w:w="28" w:type="dxa"/>
          <w:right w:w="28" w:type="dxa"/>
        </w:tblCellMar>
      </w:tblPr>
      <w:tblGrid>
        <w:gridCol w:w="5681"/>
        <w:gridCol w:w="146"/>
        <w:gridCol w:w="211"/>
        <w:gridCol w:w="751"/>
        <w:gridCol w:w="166"/>
        <w:gridCol w:w="146"/>
        <w:gridCol w:w="211"/>
        <w:gridCol w:w="751"/>
        <w:gridCol w:w="166"/>
        <w:gridCol w:w="146"/>
        <w:gridCol w:w="211"/>
        <w:gridCol w:w="751"/>
        <w:gridCol w:w="751"/>
      </w:tblGrid>
      <w:tr>
        <w:trPr/>
        <w:tc>
          <w:tcPr>
            <w:tcW w:w="5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25,287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(25,287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(24,847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research and development expenses for the six months ended June 30, 2026 and 2025:</w:t>
      </w:r>
      <w:r>
        <w:rPr>
          <w:rFonts w:ascii="Times New Roman" w:hAnsi="Times New Roman"/>
          <w:color w:val="000000"/>
          <w:sz w:val="20"/>
        </w:rPr>
        <w:t xml:space="preserve"> </w:t>
      </w:r>
    </w:p>
    <w:tbl>
      <w:tblPr>
        <w:tblW w:w="8558" w:type="dxa"/>
        <w:jc w:val="left"/>
        <w:tblInd w:w="0" w:type="dxa"/>
        <w:tblLayout w:type="fixed"/>
        <w:tblCellMar>
          <w:top w:w="28" w:type="dxa"/>
          <w:left w:w="28" w:type="dxa"/>
          <w:bottom w:w="28" w:type="dxa"/>
          <w:right w:w="28" w:type="dxa"/>
        </w:tblCellMar>
      </w:tblPr>
      <w:tblGrid>
        <w:gridCol w:w="4371"/>
        <w:gridCol w:w="146"/>
        <w:gridCol w:w="211"/>
        <w:gridCol w:w="691"/>
        <w:gridCol w:w="146"/>
        <w:gridCol w:w="146"/>
        <w:gridCol w:w="211"/>
        <w:gridCol w:w="691"/>
        <w:gridCol w:w="146"/>
        <w:gridCol w:w="146"/>
        <w:gridCol w:w="211"/>
        <w:gridCol w:w="691"/>
        <w:gridCol w:w="75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Manufacturing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to $58.7 million for the six months ended June 30, 2026 from $46.2 million for the six months ended June 30, 2025, primarily due to ongoing clinical and CRO costs associated with the progression of our global Phase 3 trial of bel-sar in early choroidal melanoma and manufacturing and development costs for bel-sar.</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General and administrative expenses increased to $24.2 million for the six months ended June 30, 2026 from $11.4 million for the six months ended June 30, 2025, primarily driven by increased stock-based compensation expense resulting from equity award modifications in connection with executive leadership transitions, as well as higher professional fees.</w:t>
      </w:r>
    </w:p>
    <w:p>
      <w:pPr>
        <w:pStyle w:val="TextBody"/>
        <w:bidi w:val="0"/>
        <w:spacing w:before="24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To date we have funded our operations primarily through the sale of convertible preferred stock, warrants and common stock. Through June 30, 2026, we have raised an aggregate of approximately $797.9 million of gross proceeds primarily from private placements of our equity and convertible preferred stock and warrants, as well as through the issuance of our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May 5, 2026, we issued and sold (i) 46,099,650 shares of common stock, which includes 6,508,650 shares sold upon the underwriters’ exercise in full of their option to purchase additional shares of common stock on May 4, 2026, and (ii) in lieu of common stock to certain investors, pre-funded warrants to purchase an aggregate of up to 3,800,000 shares of our common stock. Each such share of common stock was sold at a price to the public of $6.00 per share and each such pre-funded warrant was offered and sold at a price to the public of $5.99999 per pre-funded warrant for aggregate gross proceeds of $299.4 million in the 2026 Follow-On Offering. We received approximately $280.8 million in net proceeds from the 2026 Follow-On Offering, after deducting underwriting discounts and commissions and offering expenses, of which approximately $39.0 million were used to effectuate the Matrix Repurchase.</w:t>
      </w:r>
    </w:p>
    <w:p>
      <w:pPr>
        <w:pStyle w:val="TextBody"/>
        <w:bidi w:val="0"/>
        <w:spacing w:before="240" w:after="283"/>
        <w:jc w:val="both"/>
        <w:rPr>
          <w:rFonts w:ascii="Times New Roman" w:hAnsi="Times New Roman"/>
          <w:sz w:val="20"/>
        </w:rPr>
      </w:pPr>
      <w:r>
        <w:rPr>
          <w:rFonts w:ascii="Arial" w:hAnsi="Arial"/>
          <w:color w:val="000000"/>
          <w:sz w:val="20"/>
        </w:rPr>
        <w:t>On May 16, 2025, we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December 5, 2022, we issued and sold 7,705,000 shares of common stock, including the full exercise of the underwriters’ option to purchase additional shares at a price to the public of $12.00 per share for aggregate gross proceeds of $92.5 million in the 2022 Follow-On Offering. We received approximately $86.7 million in net proceeds from the 2022 Follow-On Offering after deducting underwriting discounts, commissions and offering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 weighted average price of $12.49 for aggregate gross proceeds of $3.3 million under the ATM.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six months ended June 30, 2026 under the ATM, and issued 1,055,362 shares of common stock at a weighted average price of $6.36 for aggregate gross proceeds of $6.7 million during the year ended December 31, 2025 under the ATM.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connection with the 2026 Follow-On Offering, on May 4, 2026, we delivered written notice to Jefferies that we were suspending and terminating the prospectus related to the shares issuable in the ATM pursuant to the terms of the Sales Agreement. As a result, we will not make any sales of our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cash flows for each of the periods presented:</w:t>
      </w:r>
      <w:r>
        <w:rPr>
          <w:rFonts w:ascii="Times New Roman" w:hAnsi="Times New Roman"/>
          <w:color w:val="000000"/>
          <w:sz w:val="20"/>
        </w:rPr>
        <w:t xml:space="preserve"> </w:t>
      </w:r>
    </w:p>
    <w:tbl>
      <w:tblPr>
        <w:tblW w:w="7979" w:type="dxa"/>
        <w:jc w:val="left"/>
        <w:tblInd w:w="0" w:type="dxa"/>
        <w:tblLayout w:type="fixed"/>
        <w:tblCellMar>
          <w:top w:w="28" w:type="dxa"/>
          <w:left w:w="28" w:type="dxa"/>
          <w:bottom w:w="28" w:type="dxa"/>
          <w:right w:w="28" w:type="dxa"/>
        </w:tblCellMar>
      </w:tblPr>
      <w:tblGrid>
        <w:gridCol w:w="5281"/>
        <w:gridCol w:w="146"/>
        <w:gridCol w:w="211"/>
        <w:gridCol w:w="856"/>
        <w:gridCol w:w="166"/>
        <w:gridCol w:w="146"/>
        <w:gridCol w:w="211"/>
        <w:gridCol w:w="751"/>
        <w:gridCol w:w="21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During the six months ended June 30, 2026, net cash used in operating activities was $62.4 million primarily due to our net loss of $79.3 million, partially offset by stock-based compensation expense.</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2025, net cash used in operating activities was $44.1 million, primarily due to our net loss of $54.5 million and a decrease in accounts payable related to timing of vendor invoicing and payments, partially offset by stock-based compensation expense.</w:t>
      </w:r>
    </w:p>
    <w:p>
      <w:pPr>
        <w:pStyle w:val="TextBody"/>
        <w:bidi w:val="0"/>
        <w:spacing w:before="240" w:after="283"/>
        <w:jc w:val="both"/>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Net cash used in investing activities during the six months ended June 30, 2026 was $171.1 million primarily due to purchases of marketable securities partially offset by maturities of marketable securities.</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six months ended June 30, 2025 was $49.8 million primarily due to maturities of marketable securities partially offset by purchases of marketable securities and property and equipment.</w:t>
      </w:r>
    </w:p>
    <w:p>
      <w:pPr>
        <w:pStyle w:val="TextBody"/>
        <w:bidi w:val="0"/>
        <w:spacing w:before="240" w:after="283"/>
        <w:jc w:val="both"/>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During the six months ended June 30, 2026, net cash provided by financing activities was $242.1 million primarily from proceeds related to the issuance of common stock and pre-funded warrants in the 2026 Follow-On Offering, partially offset by the repurchase of common stock in the Matrix Repurchase.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six months ended June 30, 2025, net cash provided by financing activities was $70.0 million from proceeds related to the issuance of common stock, pre-funded warrants, and common stock warrants in the 2025 Follow-On Offering as well as issuance of common stock under the ESPP.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plan of operation is to continue implementing our business strategy, continue research, development and manufacture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manufacture our current and future product candidates, and prepare to commercialize our products (if approved).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timing, progress, costs, and results of discovery, preclinical development, and clinical trials for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clinical trials required for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timing, and outcome of regulatory review of any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clinical and commercial supplies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revenue, if any, received from commercial sales of our product candidates for which we receive marketing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to attract, hire and retain, skilled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of operating as a public company;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our product candidates are approved, our ability to establish a commercially viable pricing structure and obtain approval for coverage and adequate reimbursement from third-party and government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 of competing technological and market developments;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extent to which we acquire or invest in businesses, products, and technologies;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unfavorable global economic conditions, which may exacerbate the magnitude of the factors discussed above. </w:t>
      </w:r>
    </w:p>
    <w:p>
      <w:pPr>
        <w:pStyle w:val="TextBody"/>
        <w:bidi w:val="0"/>
        <w:spacing w:before="240" w:after="283"/>
        <w:jc w:val="both"/>
        <w:rPr>
          <w:rFonts w:ascii="Arial" w:hAnsi="Arial"/>
          <w:color w:val="000000"/>
          <w:sz w:val="20"/>
        </w:rPr>
      </w:pPr>
      <w:r>
        <w:rPr>
          <w:rFonts w:ascii="Arial" w:hAnsi="Arial"/>
          <w:color w:val="000000"/>
          <w:sz w:val="20"/>
        </w:rPr>
        <w:t>A change in the outcome of any of these variables with respect to the development of a product candidate could mean a significant change in the costs and timing associated with the development of that product candidate. As of June 30, 2026, we had cash and cash equivalents and marketable securities of $323.8 million. Based on our current operating plan, we believe that our existing cash and cash equivalents and marketable securities are sufficient to fund our operations into the first half of 2029. We have based this estimate on assumptions that may prove to be wrong, and we could exhaust our available capital resources sooner than we expect.</w:t>
      </w:r>
    </w:p>
    <w:p>
      <w:pPr>
        <w:pStyle w:val="TextBody"/>
        <w:bidi w:val="0"/>
        <w:spacing w:before="240" w:after="283"/>
        <w:jc w:val="both"/>
        <w:rPr>
          <w:rFonts w:ascii="Arial" w:hAnsi="Arial"/>
          <w:color w:val="000000"/>
          <w:sz w:val="20"/>
        </w:rPr>
      </w:pPr>
      <w:r>
        <w:rPr>
          <w:rFonts w:ascii="Arial" w:hAnsi="Arial"/>
          <w:color w:val="000000"/>
          <w:sz w:val="20"/>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or a combination of some or all thereof. We may not be able to raise additional funds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pStyle w:val="TextBody"/>
        <w:bidi w:val="0"/>
        <w:spacing w:before="240" w:after="283"/>
        <w:jc w:val="both"/>
        <w:rPr>
          <w:rFonts w:ascii="Arial" w:hAnsi="Arial"/>
          <w:color w:val="000000"/>
          <w:sz w:val="20"/>
        </w:rPr>
      </w:pPr>
      <w:r>
        <w:rPr>
          <w:rFonts w:ascii="Arial" w:hAnsi="Arial"/>
          <w:color w:val="000000"/>
          <w:sz w:val="20"/>
        </w:rPr>
        <w:t>If we raise funds through strategic collaboration, licensing or other arrangements, we may relinquish significant rights or grant licenses on terms that are not favorable to us.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may be adversely impacted by potential worsening global economic conditions and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both"/>
        <w:rPr>
          <w:rFonts w:ascii="Arial" w:hAnsi="Arial"/>
          <w:b/>
          <w:color w:val="000000"/>
          <w:sz w:val="20"/>
        </w:rPr>
      </w:pPr>
      <w:r>
        <w:rPr>
          <w:rFonts w:ascii="Arial" w:hAnsi="Arial"/>
          <w:b/>
          <w:color w:val="000000"/>
          <w:sz w:val="20"/>
        </w:rPr>
        <w:t>Material Cash Requirements</w:t>
      </w:r>
    </w:p>
    <w:p>
      <w:pPr>
        <w:pStyle w:val="TextBody"/>
        <w:bidi w:val="0"/>
        <w:spacing w:before="80" w:after="283"/>
        <w:jc w:val="both"/>
        <w:rPr>
          <w:rFonts w:ascii="Arial" w:hAnsi="Arial"/>
          <w:color w:val="000000"/>
          <w:sz w:val="20"/>
        </w:rPr>
      </w:pPr>
      <w:r>
        <w:rPr>
          <w:rFonts w:ascii="Arial" w:hAnsi="Arial"/>
          <w:color w:val="000000"/>
          <w:sz w:val="20"/>
        </w:rPr>
        <w:t>The following table summarizes our contractual obligations and commitments as of June 30, 2026.</w:t>
      </w:r>
    </w:p>
    <w:tbl>
      <w:tblPr>
        <w:tblW w:w="9917" w:type="dxa"/>
        <w:jc w:val="left"/>
        <w:tblInd w:w="0" w:type="dxa"/>
        <w:tblLayout w:type="fixed"/>
        <w:tblCellMar>
          <w:top w:w="28" w:type="dxa"/>
          <w:left w:w="28" w:type="dxa"/>
          <w:bottom w:w="28" w:type="dxa"/>
          <w:right w:w="28" w:type="dxa"/>
        </w:tblCellMar>
      </w:tblPr>
      <w:tblGrid>
        <w:gridCol w:w="3016"/>
        <w:gridCol w:w="146"/>
        <w:gridCol w:w="211"/>
        <w:gridCol w:w="146"/>
        <w:gridCol w:w="691"/>
        <w:gridCol w:w="146"/>
        <w:gridCol w:w="146"/>
        <w:gridCol w:w="211"/>
        <w:gridCol w:w="200"/>
        <w:gridCol w:w="805"/>
        <w:gridCol w:w="146"/>
        <w:gridCol w:w="146"/>
        <w:gridCol w:w="211"/>
        <w:gridCol w:w="146"/>
        <w:gridCol w:w="586"/>
        <w:gridCol w:w="146"/>
        <w:gridCol w:w="146"/>
        <w:gridCol w:w="211"/>
        <w:gridCol w:w="146"/>
        <w:gridCol w:w="586"/>
        <w:gridCol w:w="146"/>
        <w:gridCol w:w="146"/>
        <w:gridCol w:w="211"/>
        <w:gridCol w:w="206"/>
        <w:gridCol w:w="829"/>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3"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commitments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(1)</w:t>
      </w:r>
    </w:p>
    <w:p>
      <w:pPr>
        <w:pStyle w:val="TextBody"/>
        <w:bidi w:val="0"/>
        <w:spacing w:before="60" w:after="283"/>
        <w:jc w:val="both"/>
        <w:rPr>
          <w:rFonts w:ascii="Arial" w:hAnsi="Arial"/>
          <w:color w:val="000000"/>
          <w:sz w:val="20"/>
        </w:rPr>
      </w:pPr>
      <w:r>
        <w:rPr>
          <w:rFonts w:ascii="Arial" w:hAnsi="Arial"/>
          <w:color w:val="000000"/>
          <w:sz w:val="20"/>
        </w:rPr>
        <w:t xml:space="preserve">Amounts in the table above reflect payments due for our lease of office and lab space in Boston, MA, that expires in August 2032.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May 16, 2022, we entered into an office and laboratory lease in Boston, MA with an initial 10-year term and one renewal option to extend the lease for an additional seven years. The lease commenced on August 1, 2022.</w:t>
      </w:r>
    </w:p>
    <w:p>
      <w:pPr>
        <w:pStyle w:val="TextBody"/>
        <w:bidi w:val="0"/>
        <w:spacing w:before="240" w:after="283"/>
        <w:jc w:val="both"/>
        <w:rPr>
          <w:rFonts w:ascii="Times New Roman" w:hAnsi="Times New Roman"/>
          <w:sz w:val="20"/>
        </w:rPr>
      </w:pPr>
      <w:r>
        <w:rPr>
          <w:rFonts w:ascii="Arial" w:hAnsi="Arial"/>
          <w:color w:val="000000"/>
          <w:sz w:val="20"/>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Our management’s discussion and analysis of financial condition and results of operations is based on our unaudited condensed consolidated financial statements, which have been prepared in accordance with U.S. generally accepted accounting principles.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2026, there were no material changes to our critical accounting policies from those described in the section titled “Management’s Discussion and Analysis of Financial Condition and Results of Operations” included in our Annual Report on Form 10-K for the year ended December 31, 2025, as filed with the SEC.</w:t>
      </w:r>
    </w:p>
    <w:p>
      <w:pPr>
        <w:pStyle w:val="TextBody"/>
        <w:bidi w:val="0"/>
        <w:spacing w:before="24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assessed the recent accounting pronouncements for the six months ended June 30, 2026 and determined no pronouncements have material impact to the unaudited condensed consolidated financial statements.</w:t>
      </w:r>
    </w:p>
    <w:p>
      <w:pPr>
        <w:pStyle w:val="TextBody"/>
        <w:bidi w:val="0"/>
        <w:spacing w:before="240" w:after="283"/>
        <w:jc w:val="both"/>
        <w:rPr>
          <w:rFonts w:ascii="Times New Roman" w:hAnsi="Times New Roman"/>
          <w:sz w:val="20"/>
        </w:rPr>
      </w:pPr>
      <w:r>
        <w:rPr>
          <w:rFonts w:ascii="Arial" w:hAnsi="Arial"/>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pStyle w:val="TextBody"/>
        <w:bidi w:val="0"/>
        <w:spacing w:before="80" w:after="283"/>
        <w:jc w:val="both"/>
        <w:rPr>
          <w:rFonts w:ascii="Arial" w:hAnsi="Arial"/>
          <w:color w:val="000000"/>
          <w:sz w:val="20"/>
        </w:rPr>
      </w:pPr>
      <w:r>
        <w:rPr>
          <w:rFonts w:ascii="Arial" w:hAnsi="Arial"/>
          <w:color w:val="000000"/>
          <w:sz w:val="20"/>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pStyle w:val="TextBody"/>
        <w:bidi w:val="0"/>
        <w:spacing w:before="8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bookmarkStart w:id="11" w:name="item_3_quantitative_qualitative_disclosu"/>
      <w:bookmarkEnd w:id="11"/>
      <w:r>
        <w:rPr>
          <w:rFonts w:ascii="Arial" w:hAnsi="Arial"/>
          <w:b/>
          <w:color w:val="000000"/>
          <w:sz w:val="20"/>
        </w:rPr>
        <w:t>Item 3. Quantitative and Qualitative Disclosures About Market Risk.</w:t>
      </w:r>
    </w:p>
    <w:p>
      <w:pPr>
        <w:pStyle w:val="TextBody"/>
        <w:bidi w:val="0"/>
        <w:spacing w:before="80" w:after="283"/>
        <w:jc w:val="both"/>
        <w:rPr>
          <w:rFonts w:ascii="Times New Roman" w:hAnsi="Times New Roman"/>
          <w:sz w:val="20"/>
        </w:rPr>
      </w:pPr>
      <w:r>
        <w:rPr>
          <w:rFonts w:ascii="Arial" w:hAnsi="Arial"/>
          <w:color w:val="000000"/>
          <w:sz w:val="20"/>
        </w:rPr>
        <w:t>We are a smaller reporting company as defined by Rule 12b-2 of the Exchange Act and are not required to provide the information under this item.</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2" w:name="item_4_controls_and_procedures"/>
      <w:bookmarkEnd w:id="12"/>
      <w:r>
        <w:rPr>
          <w:rFonts w:ascii="Arial" w:hAnsi="Arial"/>
          <w:b/>
          <w:color w:val="000000"/>
          <w:sz w:val="20"/>
        </w:rPr>
        <w:t>Item 4. Controls and Procedures.</w:t>
      </w:r>
    </w:p>
    <w:p>
      <w:pPr>
        <w:pStyle w:val="TextBody"/>
        <w:bidi w:val="0"/>
        <w:spacing w:before="80" w:after="283"/>
        <w:jc w:val="both"/>
        <w:rPr>
          <w:rFonts w:ascii="Arial" w:hAnsi="Arial"/>
          <w:i/>
          <w:color w:val="000000"/>
          <w:sz w:val="20"/>
        </w:rPr>
      </w:pPr>
      <w:r>
        <w:rPr>
          <w:rFonts w:ascii="Arial" w:hAnsi="Arial"/>
          <w:i/>
          <w:color w:val="000000"/>
          <w:sz w:val="20"/>
        </w:rPr>
        <w:t>Disclosure Controls and Procedures</w:t>
      </w:r>
    </w:p>
    <w:p>
      <w:pPr>
        <w:pStyle w:val="TextBody"/>
        <w:bidi w:val="0"/>
        <w:spacing w:before="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Chief Executive Officer and Chief Financial and Business Officer, has evaluated the effectiveness of our disclosure controls and procedures (as defined in Rules 13a-15(e) and 15d-15(e) under the Exchange Act), as of the end of the period covered by this Quarterly Report. Based on such evaluation, our Chief Executive Officer and Chief Financial and Business Officer have concluded that as of June 30, 2026,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and Business Officer, to allow timely decisions regarding any required disclosure.</w:t>
      </w:r>
    </w:p>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Changes in Internal Control over Financial Reporting</w:t>
      </w:r>
    </w:p>
    <w:p>
      <w:pPr>
        <w:pStyle w:val="TextBody"/>
        <w:bidi w:val="0"/>
        <w:spacing w:before="8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3" w:name="part_ii_other_information"/>
      <w:bookmarkEnd w:id="13"/>
      <w:r>
        <w:rPr>
          <w:rFonts w:ascii="Arial" w:hAnsi="Arial"/>
          <w:b/>
          <w:color w:val="000000"/>
          <w:sz w:val="20"/>
        </w:rPr>
        <w:t>PART II—OTHER 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80" w:after="283"/>
        <w:jc w:val="both"/>
        <w:rPr>
          <w:rFonts w:ascii="Arial" w:hAnsi="Arial"/>
          <w:color w:val="000000"/>
          <w:sz w:val="20"/>
        </w:rPr>
      </w:pPr>
      <w:r>
        <w:rPr>
          <w:rFonts w:ascii="Arial" w:hAnsi="Arial"/>
          <w:color w:val="000000"/>
          <w:sz w:val="20"/>
        </w:rPr>
        <w:t>From time to time, we may become subject to various legal proceedings and claims that arise in the ordinary course of our business activities. Although the results of litigation and claims cannot be predicted with certainty, as of June 30,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80" w:after="283"/>
        <w:jc w:val="both"/>
        <w:rPr>
          <w:rFonts w:ascii="Times New Roman" w:hAnsi="Times New Roman"/>
          <w:sz w:val="20"/>
        </w:rPr>
      </w:pPr>
      <w:r>
        <w:rPr>
          <w:rFonts w:ascii="Arial" w:hAnsi="Arial"/>
          <w:i/>
          <w:color w:val="000000"/>
          <w:sz w:val="20"/>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Financial Position, and Additional Capital Needs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have incurred significant net losses since our inception and anticipate that we will continue to incur losses for the foreseeable future.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$79.3 million and $54.5 million for the six months ended June 30, 2026 and 2025, respectively. As of June 30, 2026, we had an accumulated deficit of $559.7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initiating and completing research regarding, and preclinical and clinical development of, bel-sar in early choroidal melanoma and additional oncology indications, including metastases to the choroid as well as any other research programs from our VDC technology platform and any future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marketing approval for bel-sar and any future product candidates for which we complete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and maintaining it with, a CDMO for bel-sar and any future product candidates, including establishing and maintaining commercially viable supply and manufacturing relationships with third parties;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launching and commercializing bel-sar and any future product candidates for which we obtain marketing approvals, either directly or with a collaborator or distributor;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 acceptance of bel-sar and any future product candidates as viable treatment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technological and market developments;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acquiring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negotiating favorable terms in any collaboration, licensing, or other arrangements into which we may enter;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protecting, and expanding our portfolio of intellectual property rights, including patents, trade secrets, and know-how; and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on our current operating plan, we believe that our existing cash and cash equivalents and marketable securities are sufficient to fund our operations into the first half of 2029. Advancing the development of bel-sar and other research programs will require a significant amount of capital. Our existing cash and cash equivalents and marketable securities may not be sufficient to fund bel-sar through regulatory approvals, and we anticipate needing to raise additional capital to complete the development and commercialization of bel-sar. Our estimate as to how long we expect our existing cash and cash equivalents and marketable securities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or through the exercise of the warrants that were issued in May 2025,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pStyle w:val="TextBody"/>
        <w:bidi w:val="0"/>
        <w:spacing w:before="240" w:after="283"/>
        <w:jc w:val="both"/>
        <w:rPr>
          <w:rFonts w:ascii="Arial" w:hAnsi="Arial"/>
          <w:b/>
          <w:i/>
          <w:color w:val="000000"/>
          <w:sz w:val="20"/>
        </w:rPr>
      </w:pPr>
      <w:r>
        <w:rPr>
          <w:rFonts w:ascii="Arial" w:hAnsi="Arial"/>
          <w:b/>
          <w:i/>
          <w:color w:val="000000"/>
          <w:sz w:val="20"/>
        </w:rPr>
        <w:t>Recent volatility in capital markets may affect our ability to access new capital through sales of shares of our common stock or issuance of indebtedness.</w:t>
      </w:r>
    </w:p>
    <w:p>
      <w:pPr>
        <w:pStyle w:val="TextBody"/>
        <w:bidi w:val="0"/>
        <w:spacing w:before="80" w:after="283"/>
        <w:jc w:val="both"/>
        <w:rPr>
          <w:rFonts w:ascii="Times New Roman" w:hAnsi="Times New Roman"/>
          <w:sz w:val="20"/>
        </w:rPr>
      </w:pPr>
      <w:r>
        <w:rPr>
          <w:rFonts w:ascii="Arial" w:hAnsi="Arial"/>
          <w:color w:val="000000"/>
          <w:sz w:val="20"/>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finance unanticipated working capital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 or enhance our technological infrastructure and our existing solutions;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pursue acquisitions or other strategic relationships;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respond to competitive pressures.</w:t>
      </w:r>
    </w:p>
    <w:p>
      <w:pPr>
        <w:pStyle w:val="TextBody"/>
        <w:bidi w:val="0"/>
        <w:spacing w:before="240" w:after="283"/>
        <w:jc w:val="both"/>
        <w:rPr>
          <w:rFonts w:ascii="Arial" w:hAnsi="Arial"/>
          <w:color w:val="000000"/>
          <w:sz w:val="20"/>
        </w:rPr>
      </w:pPr>
      <w:r>
        <w:rPr>
          <w:rFonts w:ascii="Arial" w:hAnsi="Arial"/>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proprietary rights to our technologies or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or through the exercise of warrants we have issued,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our objectives relating to the discovery, development, regulatory approval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and timely completion of preclinical and clinical development of bel-sar in small choroidal melanoma and indeterminate lesions and additional oncology indications, including but not limited to metastases to the choroid,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relationships with CROs and clinical sites for the clinical development of bel-sar,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or maintaining it with, a CDMO including obtaining finished products that are appropriately packaged for sale;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continued acceptable safety profile following any marketing approval of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commercial acceptance of our product candidates by patients, the medical community and third-party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satisfying any required post-marketing approval commitments to applicable regulatory authorities;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and expanding patent protection, trade secret protection and regulatory exclusivity, both in the United States and internationally;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defending against third-party interference or infringement claims, if 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coverage and adequate reimbursement by third-party payors for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therapies and technological and market developments;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heavily dependent on the success of bel-sar, our only product candidate to date.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the design or implementation of our clinical trials;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that a product candidate’s clinical and other benefits outweigh its safety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our interpretation of data from preclinical studies or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an BLA or other submission or to obtain regulatory approval in the United States or elsewhere;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fail to approve our manufacturing processes or facilities or those of third-party manufacturers with which we contract for clinical and commercial supplies;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both"/>
        <w:rPr>
          <w:rFonts w:ascii="Times New Roman" w:hAnsi="Times New Roman"/>
          <w:sz w:val="20"/>
        </w:rPr>
      </w:pPr>
      <w:r>
        <w:rPr>
          <w:rFonts w:ascii="Arial" w:hAnsi="Arial"/>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completed enrollment in our pivotal Phase 3 clinical trial, but we do not expect topline data until the second half of 2027, and we have not yet completed such trial nor commercialized any pharmaceutical products, which may make it difficult to evaluate our future prospects.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completed enrollment of our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Although we have completed enrollment in this trial, we do not expect topline data until the second half of 2027, and the final results, once unblinded and analyzed, may be negative, inconclusive or otherwise insufficient to support marketing approval. We also incurred greater costs than we originally anticipated in completing enrollment, and we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external CDMO manufacturer, but transfers to additional CDMOs may occur in the future. Further, some modifications to our manufacturing process or a manufacturing facility change may be needed, including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our ocular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pStyle w:val="TextBody"/>
        <w:bidi w:val="0"/>
        <w:spacing w:before="240" w:after="283"/>
        <w:jc w:val="both"/>
        <w:rPr>
          <w:rFonts w:ascii="Times New Roman" w:hAnsi="Times New Roman"/>
          <w:sz w:val="20"/>
        </w:rPr>
      </w:pPr>
      <w:r>
        <w:rPr>
          <w:rFonts w:ascii="Arial" w:hAnsi="Arial"/>
          <w:b/>
          <w:i/>
          <w:color w:val="000000"/>
          <w:sz w:val="20"/>
        </w:rPr>
        <w:t>If we fail to develop additional product candidates, or obtain additional indications of our first product candidate, our commercial opportunity could be limited.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Bel-sar is a biologic that requires the use of multiple medical devices, which may result in additional regulatory risks.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bear a CE marking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pStyle w:val="TextBody"/>
        <w:bidi w:val="0"/>
        <w:spacing w:before="240" w:after="283"/>
        <w:jc w:val="both"/>
        <w:rPr>
          <w:rFonts w:ascii="Times New Roman" w:hAnsi="Times New Roman"/>
          <w:sz w:val="20"/>
        </w:rPr>
      </w:pPr>
      <w:r>
        <w:rPr>
          <w:rFonts w:ascii="Arial" w:hAnsi="Arial"/>
          <w:color w:val="000000"/>
          <w:sz w:val="20"/>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 choroidal melanoma is a rare disease and as such clinical trial recruitment estimates may be inaccurate and such recruitment may take longer than expected.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Patient enrollment may be affected by other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severity of the disease under investigation;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clinicians’ and patients’ awareness of, and perceptions as to the potential advantages and risks of bel-sar in relation to other available therapies, including any new drugs that may be approved for the indications we are investigating;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efforts to obtain and maintain patient consents and facilitate timely enrollment in clinical trials;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monitor patients adequately during and after treatment;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risk that patients enrolled in clinical trials will drop out of the clinical trials before clinical trial completion;</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competing studies or trials with similar eligibility criteria;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reporting of the preliminary results of any of our clinical trials;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factors we may not be able to control that may limit patients, principal investigators or staff or clinical site availability. </w:t>
      </w:r>
    </w:p>
    <w:p>
      <w:pPr>
        <w:pStyle w:val="TextBody"/>
        <w:bidi w:val="0"/>
        <w:spacing w:before="240" w:after="283"/>
        <w:jc w:val="both"/>
        <w:rPr>
          <w:rFonts w:ascii="Times New Roman" w:hAnsi="Times New Roman"/>
          <w:sz w:val="20"/>
        </w:rPr>
      </w:pPr>
      <w:r>
        <w:rPr>
          <w:rFonts w:ascii="Arial" w:hAnsi="Arial"/>
          <w:b/>
          <w:i/>
          <w:color w:val="000000"/>
          <w:sz w:val="20"/>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currently conducting a Phase 3 clinical trial and have, or anticipate to have, sites in the United States as well as in some or all of the following countries, among others: the UK, Canada, Australia, Austria, Italy, Israel, Germany, France, Spain, Belgium, New Zealand, the Netherlands,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Additionally, recent policy proposals in the United States, if enacted in the future, may make acceptance by the FDA or inclusion in a marketing application of foreign data more difficult or costly.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marketing approval for our current or future product candidates in the United States, we may never receive regulatory approval to market our current or future product candidates outside of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results of preclinical studies and early clinical trials may not be predictive of future results.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withdraw approvals of such product or require additional warnings on the label;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additional clinical trials or post-approval studies;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subject to regulatory investigations and government enforcement actions;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reputation may suffer. </w:t>
      </w:r>
    </w:p>
    <w:p>
      <w:pPr>
        <w:pStyle w:val="TextBody"/>
        <w:bidi w:val="0"/>
        <w:spacing w:before="240" w:after="283"/>
        <w:jc w:val="both"/>
        <w:rPr>
          <w:rFonts w:ascii="Times New Roman" w:hAnsi="Times New Roman"/>
          <w:sz w:val="20"/>
        </w:rPr>
      </w:pPr>
      <w:r>
        <w:rPr>
          <w:rFonts w:ascii="Arial" w:hAnsi="Arial"/>
          <w:color w:val="000000"/>
          <w:sz w:val="20"/>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events could prevent us from achieving or maintaining market acceptance of the particular product candidate, if approved, and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incur additional costs or experience delays in initiating or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receive feedback from regulatory authorities that require us to modify the design or implementation of our preclinical studies or clinical trials or to delay or terminate a clinical trial;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regulators or institutional review board, or IRBs, or ethics committees may delay or may not authorize us or our investigators to commence a clinical trial or conduct a clinical trial at a prospective trial site;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experience delays in reaching, or fail to reach, agreement on acceptable terms with prospective trial sites and prospective CROs, the terms of which can be subject to extensive negotiation and may vary significantly among different CROs and trial sites;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not produce differentiated or clinically significant results across tumor types or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clinical trials of our product candidates may be greater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regulators may revise the requirements for approving our product candidates, or such requirements may not be as we anticipate. </w:t>
      </w:r>
    </w:p>
    <w:p>
      <w:pPr>
        <w:pStyle w:val="TextBody"/>
        <w:bidi w:val="0"/>
        <w:spacing w:before="240" w:after="283"/>
        <w:jc w:val="both"/>
        <w:rPr>
          <w:rFonts w:ascii="Times New Roman" w:hAnsi="Times New Roman"/>
          <w:sz w:val="20"/>
        </w:rPr>
      </w:pPr>
      <w:r>
        <w:rPr>
          <w:rFonts w:ascii="Arial" w:hAnsi="Arial"/>
          <w:color w:val="000000"/>
          <w:sz w:val="20"/>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Sponsors of approved drugs and biologics must provide six months’ notice to the FDA of any changes in marketing status or for discontinuing or interrupting supply of certain drugs, including the withdrawal of a drug, and failure to do so could result in the FDA issuing a letter citing such failure to comply and public posting of such letter and redacted company response, which could damage the company’s reputation.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restrictions on the marketing or manufacturing of the product, withdrawal of the product from the market, or voluntary or mandatory product recalls;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manufacturing delays and supply disruptions where regulatory inspections identify observations of noncompliance requiring remediation;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revisions to the labeling, including limitation on approved uses or the inclusion of additional warnings, contraindications or other safety information, including boxed warnings;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imposition of a REMS which may include distribution or use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requirements to conduct additional post-market clinical trials to assess the safety of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clinical trial holds;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fines, warning letters or other regulatory enforcement action;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refusal by the FDA to approve pending applications or supplements to approved applications filed by us or suspension or revocation of approvals;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seizure or detention, or refusal to permit the import or export of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pStyle w:val="TextBody"/>
        <w:bidi w:val="0"/>
        <w:spacing w:before="240" w:after="283"/>
        <w:jc w:val="both"/>
        <w:rPr>
          <w:rFonts w:ascii="Times New Roman" w:hAnsi="Times New Roman"/>
          <w:sz w:val="20"/>
        </w:rPr>
      </w:pPr>
      <w:r>
        <w:rPr>
          <w:rFonts w:ascii="Arial" w:hAnsi="Arial"/>
          <w:b/>
          <w:i/>
          <w:color w:val="000000"/>
          <w:sz w:val="20"/>
        </w:rPr>
        <w:t>We may be unable to obtain ODD for additional indications, or to maintain the benefits associated with orphan drug status, including market exclusivity, which may cause our revenue, if any, to be reduced.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product that has ODD subsequently receives the first FDA approval for a particular active ingredient for the indication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approved use or condition. Furthermore, the FDA can waive orphan exclusivity if we are unable to manufacture sufficient supply of our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orphan designation for bel-sar for the treatment of uveal melanoma from the FDA and the European Commission,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and competent authorities of the EU Member States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which could reduce the current ten-year marketing exclusivity period in the EU for certain orphan medicines, remain to be adopted, and are not expected to become applicable before 2028.</w:t>
      </w:r>
    </w:p>
    <w:p>
      <w:pPr>
        <w:pStyle w:val="TextBody"/>
        <w:bidi w:val="0"/>
        <w:spacing w:before="240" w:after="283"/>
        <w:jc w:val="both"/>
        <w:rPr>
          <w:rFonts w:ascii="Times New Roman" w:hAnsi="Times New Roman"/>
          <w:sz w:val="20"/>
        </w:rPr>
      </w:pPr>
      <w:r>
        <w:rPr>
          <w:rFonts w:ascii="Arial" w:hAnsi="Arial"/>
          <w:b/>
          <w:i/>
          <w:color w:val="000000"/>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the Food and Drug Omnibus Reform Act of 2022, or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FDA’s agreement to a Special Protocol Assessment, or SPA,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pStyle w:val="TextBody"/>
        <w:bidi w:val="0"/>
        <w:spacing w:before="80" w:after="283"/>
        <w:jc w:val="both"/>
        <w:rPr>
          <w:rFonts w:ascii="Arial" w:hAnsi="Arial"/>
          <w:color w:val="000000"/>
          <w:sz w:val="20"/>
        </w:rPr>
      </w:pPr>
      <w:r>
        <w:rPr>
          <w:rFonts w:ascii="Arial" w:hAnsi="Arial"/>
          <w:color w:val="000000"/>
          <w:sz w:val="20"/>
        </w:rPr>
        <w:t>We obtained agreement from the FDA on the design and planned analysis of our global Phase 3 trial of bel-sar for the treatment of early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pStyle w:val="TextBody"/>
        <w:bidi w:val="0"/>
        <w:spacing w:before="240" w:after="283"/>
        <w:jc w:val="both"/>
        <w:rPr>
          <w:rFonts w:ascii="Arial" w:hAnsi="Arial"/>
          <w:color w:val="000000"/>
          <w:sz w:val="20"/>
        </w:rPr>
      </w:pPr>
      <w:r>
        <w:rPr>
          <w:rFonts w:ascii="Arial" w:hAnsi="Arial"/>
          <w:color w:val="000000"/>
          <w:sz w:val="20"/>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pStyle w:val="TextBody"/>
        <w:bidi w:val="0"/>
        <w:spacing w:before="240" w:after="283"/>
        <w:jc w:val="both"/>
        <w:rPr>
          <w:rFonts w:ascii="Times New Roman" w:hAnsi="Times New Roman"/>
          <w:sz w:val="20"/>
        </w:rPr>
      </w:pPr>
      <w:r>
        <w:rPr>
          <w:rFonts w:ascii="Arial" w:hAnsi="Arial"/>
          <w:color w:val="000000"/>
          <w:sz w:val="20"/>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pStyle w:val="TextBody"/>
        <w:bidi w:val="0"/>
        <w:spacing w:before="240" w:after="283"/>
        <w:jc w:val="both"/>
        <w:rPr>
          <w:rFonts w:ascii="Arial" w:hAnsi="Arial"/>
          <w:color w:val="000000"/>
          <w:sz w:val="20"/>
        </w:rPr>
      </w:pPr>
      <w:r>
        <w:rPr>
          <w:rFonts w:ascii="Arial" w:hAnsi="Arial"/>
          <w:color w:val="000000"/>
          <w:sz w:val="20"/>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 choroidal melanoma. Any of these third parties may terminate their engagements with us or be unable to fulfill their contractual obligations. If we need to enter into alternative arrangements, our product development activities would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delays or disruptions in the operations of our existing CDMOs or third-party suppliers, or finding new CDMOs or third-party suppliers, would involve additional cost and require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an existing or new CDMO could delay completion of clinical trials, require the conduct of bridging clinical trials or studies, require the repetition of one or more clinical trials, increase clinical trial and commercial costs, delay approval of bel-sar and future product candidates and jeopardize our ability to commence product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of third-party manufacturers to comply with regulatory requirements and maintain quality assurance;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breach of the manufacturing agreement by the third-party manufacturers;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specifications;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lack of qualified backup suppliers for those components or materials that are currently purchased from a sole or single source supplier;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schedule or at all;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production difficulties caused by unforeseen events that may delay the availability of one or more of the necessary raw materials or delay the manufacture of bel-sar or any future product candidates for use in clinical trials or for commercial supply;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supply or service disruptions or increased costs that are beyond our control;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misappropriation of our proprietary information, including our trade secrets and know-how;</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changes to manufacturing costs or processes implemented by third-party manufacturers;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termination or nonrenewal of the agreement by the third party at a time that is costly or inconvenient for us. </w:t>
      </w:r>
    </w:p>
    <w:p>
      <w:pPr>
        <w:pStyle w:val="TextBody"/>
        <w:bidi w:val="0"/>
        <w:spacing w:before="240" w:after="283"/>
        <w:jc w:val="both"/>
        <w:rPr>
          <w:rFonts w:ascii="Times New Roman" w:hAnsi="Times New Roman"/>
          <w:sz w:val="20"/>
        </w:rPr>
      </w:pPr>
      <w:r>
        <w:rPr>
          <w:rFonts w:ascii="Arial" w:hAnsi="Arial"/>
          <w:color w:val="000000"/>
          <w:sz w:val="20"/>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renegotiate agreements with existing third-party manufacturers on less attractive terms or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Commercialization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bel-sar or any future product candidates do not achieve broad market acceptance, the revenue that we generate from their sales may be limited, and we may never become profitable.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efficacy of bel-sar and our VLP technology,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prevalence and severity of adverse events associated with bel-sar and any future product candidates or those products with which they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clinical indications for which bel-sar are approved and the approved claims that we may make for the products;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limitations or warnings contained in the product’s FDA-approved labeling or those of comparable foreign regulatory authorities, including potential limitations or warnings for bel-sar and any future product candidates that may be more restrictive than other competitive products;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SoC for the targeted indications for bel-sar and any future product candidates, which could reduce the marketing impact of any claims that we could make following FDA approval or approval by comparable foreign regulatory authorities, if obtained;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relative convenience and ease of administration of bel-sar and any future product candidates and any products with which they are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treatment compared with the economic and clinical benefit of alternative treatments or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adequate coverage or reimbursement by third-party payors, including government healthcare programs such as Medicare and Medicaid and other healthcare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price concessions required by third-party payors to obtain coverage;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perception of physicians, patients, third-party payors and others in the medical community of the relative safety, efficacy, convenience, effect on quality of life and cost effectiveness of bel-sar compared to those of other available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patients to pay out-of-pocket in the absence of adequate coverage and reimbursement;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marketing and distribution of bel-sar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safety, efficacy, and other potential advantages over, and availability of, alternative treatments already used or that may later be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distribution and use restrictions imposed by the FDA or comparable foreign regulatory authorities with respect to bel-sar and any future product candidates or to which we agree as part of a REMS or voluntary risk management plan;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timing of market introduction of bel-sar and any future product candidates, as well as competitive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offer bel-sar and any future product candidates for sale at competitive prices;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the target patient population to try new therapies and of physicians to prescribe these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third-party manufacturer and supplier support;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publicity concerning our bel-sar or competing products and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actions of companies that market any products with which bel-sar and any future product candidates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of other new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adverse publicity about bel-sar and any future product candidates or any products with which they are co-administered, or favorable publicity about competitive products;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product liability claims. </w:t>
      </w:r>
    </w:p>
    <w:p>
      <w:pPr>
        <w:pStyle w:val="TextBody"/>
        <w:bidi w:val="0"/>
        <w:spacing w:before="240" w:after="283"/>
        <w:jc w:val="both"/>
        <w:rPr>
          <w:rFonts w:ascii="Times New Roman" w:hAnsi="Times New Roman"/>
          <w:sz w:val="20"/>
        </w:rPr>
      </w:pPr>
      <w:r>
        <w:rPr>
          <w:rFonts w:ascii="Arial" w:hAnsi="Arial"/>
          <w:b/>
          <w:i/>
          <w:color w:val="000000"/>
          <w:sz w:val="20"/>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developing a sales and marketing organization requires significant investment, is time-consuming and could delay the launch of our product candidate. We may not be able to build an effective sales and marketing organization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the United States, the EU or other key global markets. If we are unable to build our own distribution and marketing capabilities or to find suitable partners for the commercialization of our product candidate, we may have difficulties generating revenue from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can be no assurance that we will be able to develop in-house sales and distribution capabilities or establish or maintain relationships with third-party collaborators to commercialize any product in the United States or overseas.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face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biopharmaceutical industry is characterized by intense competition and rapid innovation. While we are not aware of anyone currently developing a treatment for early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 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pStyle w:val="TextBody"/>
        <w:bidi w:val="0"/>
        <w:spacing w:before="240" w:after="283"/>
        <w:jc w:val="both"/>
        <w:rPr>
          <w:rFonts w:ascii="Times New Roman" w:hAnsi="Times New Roman"/>
          <w:sz w:val="20"/>
        </w:rPr>
      </w:pPr>
      <w:r>
        <w:rPr>
          <w:rFonts w:ascii="Arial" w:hAnsi="Arial"/>
          <w:color w:val="000000"/>
          <w:sz w:val="20"/>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2025 titled “Business—Competition.”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2025 titled “Business—Government Regulation—Coverage and Reimbursement.”</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incidence and prevalence for target patient populations of bel-sar and any future product candidates has not been established with precision. Bel-sar is a VDC product candidate being developed for the first line treatment of early choroidal melanoma. Our projections of both the number of people who have choroidal melanoma, as well as additional ocular oncology indications, are based on our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other indications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before="80" w:after="283"/>
        <w:jc w:val="both"/>
        <w:rPr>
          <w:rFonts w:ascii="Arial" w:hAnsi="Arial"/>
          <w:color w:val="000000"/>
          <w:sz w:val="20"/>
        </w:rPr>
      </w:pPr>
      <w:r>
        <w:rPr>
          <w:rFonts w:ascii="Arial" w:hAnsi="Arial"/>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2025 titled “Business—Government Regulation—Health Care Laws and Regulations.”</w:t>
      </w:r>
    </w:p>
    <w:p>
      <w:pPr>
        <w:pStyle w:val="TextBody"/>
        <w:bidi w:val="0"/>
        <w:spacing w:before="240" w:after="283"/>
        <w:jc w:val="both"/>
        <w:rPr>
          <w:rFonts w:ascii="Arial" w:hAnsi="Arial"/>
          <w:color w:val="000000"/>
          <w:sz w:val="20"/>
        </w:rPr>
      </w:pPr>
      <w:r>
        <w:rPr>
          <w:rFonts w:ascii="Arial" w:hAnsi="Arial"/>
          <w:color w:val="000000"/>
          <w:sz w:val="20"/>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Current and future 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2025 titled “Business—Government Regulation—Health Care Reform &amp; Legislative Updates.”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demand for our current or future product candidates, if we obtain regulatory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set a price that we believe is fair for our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obtain coverage and reimbursement approval for a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generate revenue and achieve or maintain profitability;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level of taxes that we are required to pay; and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capital. </w:t>
      </w:r>
    </w:p>
    <w:p>
      <w:pPr>
        <w:pStyle w:val="TextBody"/>
        <w:bidi w:val="0"/>
        <w:spacing w:before="240" w:after="283"/>
        <w:jc w:val="both"/>
        <w:rPr>
          <w:rFonts w:ascii="Times New Roman" w:hAnsi="Times New Roman"/>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Our ability to compete may decline if we do not adequately protect our proprietary rights, and our proprietary rights do not necessarily address all potential threats to our competitive advantage.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others may design around our patent claims to produce competitive technologies, products or methods that fall outside of the scope of our patents;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may not obtain patent protection in all jurisdictions that may eventually provide us a significant business opportunity;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patents issued to us may be successfully challenged by third parties. </w:t>
      </w:r>
    </w:p>
    <w:p>
      <w:pPr>
        <w:pStyle w:val="TextBody"/>
        <w:bidi w:val="0"/>
        <w:spacing w:before="240" w:after="283"/>
        <w:jc w:val="both"/>
        <w:rPr>
          <w:rFonts w:ascii="Times New Roman" w:hAnsi="Times New Roman"/>
          <w:sz w:val="20"/>
        </w:rPr>
      </w:pPr>
      <w:r>
        <w:rPr>
          <w:rFonts w:ascii="Arial" w:hAnsi="Arial"/>
          <w:color w:val="000000"/>
          <w:sz w:val="20"/>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Disputes may also arise between us and our licensors regarding intellectual property subject to a license agreement,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of rights granted and related obligations under the license agreement and other interpretation-related issues;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licensor’s right to license or sublicense patent and other rights to us, and whether and the extent to which the right is retained by a third party;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whether and the extent to which our technology infringes on intellectual property of the licensor that is not subject to the licensing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right to sublicense patent and other rights to third parties under collaborative development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diligence obligations with respect to the use of the licensed technology in relation to our development and commercialization of bel-sar or any future product candidates, and what activities satisfy those diligence obligations;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ownership of inventions and know-how resulting from the joint creation or use of intellectual property by our licensors and us. </w:t>
      </w:r>
    </w:p>
    <w:p>
      <w:pPr>
        <w:pStyle w:val="TextBody"/>
        <w:bidi w:val="0"/>
        <w:spacing w:before="240" w:after="283"/>
        <w:jc w:val="both"/>
        <w:rPr>
          <w:rFonts w:ascii="Times New Roman" w:hAnsi="Times New Roman"/>
          <w:sz w:val="20"/>
        </w:rPr>
      </w:pPr>
      <w:r>
        <w:rPr>
          <w:rFonts w:ascii="Arial" w:hAnsi="Arial"/>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before="240" w:after="283"/>
        <w:jc w:val="both"/>
        <w:rPr>
          <w:rFonts w:ascii="Times New Roman" w:hAnsi="Times New Roman"/>
          <w:sz w:val="20"/>
        </w:rPr>
      </w:pPr>
      <w:r>
        <w:rPr>
          <w:rFonts w:ascii="Arial" w:hAnsi="Arial"/>
          <w:b/>
          <w:i/>
          <w:color w:val="000000"/>
          <w:sz w:val="20"/>
        </w:rPr>
        <w:t>Patents and patent applications involve highly complex legal and factual questions, which, if determined adversely to us, could negatively impact our patent position.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hAnsi="Arial"/>
          <w:i/>
          <w:color w:val="000000"/>
          <w:sz w:val="20"/>
        </w:rPr>
        <w:t xml:space="preserve">inter partes </w:t>
      </w:r>
      <w:r>
        <w:rPr>
          <w:rFonts w:ascii="Arial" w:hAnsi="Arial"/>
          <w:color w:val="000000"/>
          <w:sz w:val="20"/>
        </w:rPr>
        <w:t>review and opposition proceedings may be costly. Accordingly, rights under any issued patents may not provide us with sufficient protection against competitive products or processes.</w:t>
      </w:r>
    </w:p>
    <w:p>
      <w:pPr>
        <w:pStyle w:val="TextBody"/>
        <w:bidi w:val="0"/>
        <w:spacing w:before="240" w:after="283"/>
        <w:jc w:val="both"/>
        <w:rPr>
          <w:rFonts w:ascii="Times New Roman" w:hAnsi="Times New Roman"/>
          <w:sz w:val="20"/>
        </w:rPr>
      </w:pPr>
      <w:r>
        <w:rPr>
          <w:rFonts w:ascii="Arial" w:hAnsi="Arial"/>
          <w:color w:val="000000"/>
          <w:sz w:val="20"/>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before="240" w:after="283"/>
        <w:jc w:val="both"/>
        <w:rPr>
          <w:rFonts w:ascii="Times New Roman" w:hAnsi="Times New Roman"/>
          <w:sz w:val="20"/>
        </w:rPr>
      </w:pPr>
      <w:r>
        <w:rPr>
          <w:rFonts w:ascii="Arial" w:hAnsi="Arial"/>
          <w:color w:val="000000"/>
          <w:sz w:val="20"/>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our licensors are unable to protect the confidentiality of the proprietary information related to our product or process, our business and competitive position would be harmed.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hAnsi="Arial"/>
          <w:color w:val="000000"/>
          <w:sz w:val="13"/>
        </w:rPr>
        <w:t xml:space="preserve">® </w:t>
      </w:r>
      <w:r>
        <w:rPr>
          <w:rFonts w:ascii="Arial" w:hAnsi="Arial"/>
          <w:color w:val="000000"/>
          <w:sz w:val="20"/>
        </w:rPr>
        <w:t>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data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Business and Industry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Moreover, in August 2026, we approved a plan to streamline our operating plan and organizational structure to focus resources in ocular oncology, including a reduction in force of approximately 20% of our workforce. These reductions in our workforce may also make retention of our current personnel both more important and more challenging. These workforce reductions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Further, we recently underwent a leadership transition, which may be viewed negatively by employees, investors and/or our strategic partners. Moreover, any attrition associated with this transition could significantly delay or prevent the achievement of product development and commercialization, and other business objectives, and adversely impact our stock price.</w:t>
      </w:r>
    </w:p>
    <w:p>
      <w:pPr>
        <w:pStyle w:val="TextBody"/>
        <w:bidi w:val="0"/>
        <w:spacing w:before="240" w:after="283"/>
        <w:jc w:val="both"/>
        <w:rPr>
          <w:rFonts w:ascii="Arial" w:hAnsi="Arial"/>
          <w:b/>
          <w:i/>
          <w:color w:val="000000"/>
          <w:sz w:val="20"/>
        </w:rPr>
      </w:pPr>
      <w:r>
        <w:rPr>
          <w:rFonts w:ascii="Arial" w:hAnsi="Arial"/>
          <w:b/>
          <w:i/>
          <w:color w:val="000000"/>
          <w:sz w:val="20"/>
        </w:rPr>
        <w:t>Changes in funding, leadership, personnel, policies or priorities of, or other disruptions at federal governmental agencies, including from government shut downs or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pStyle w:val="TextBody"/>
        <w:bidi w:val="0"/>
        <w:spacing w:before="8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Disruptions in staffing, funding or operations at the FDA, SEC, NIH, USPTO and other government agencies, including leadership departures, personnel cuts, and potential or actual government shutdowns or any changes and/or additional policies or regulations relating to federal agencies as a result of the current U.S. presidential administration, may also prevent, delay or hinder the research, development or commercialization of new products, including review and/or approval of new products by necessary government agencies, any of which would adversely affect our business. Changes and cuts in FDA staffing have also been reported as resulting in delays in the FDA’s responsiveness or in its ability to review IND submissions or marketing applications.</w:t>
      </w:r>
    </w:p>
    <w:p>
      <w:pPr>
        <w:pStyle w:val="TextBody"/>
        <w:bidi w:val="0"/>
        <w:spacing w:before="240" w:after="283"/>
        <w:jc w:val="both"/>
        <w:rPr>
          <w:rFonts w:ascii="Arial" w:hAnsi="Arial"/>
          <w:color w:val="000000"/>
          <w:sz w:val="20"/>
        </w:rPr>
      </w:pPr>
      <w:r>
        <w:rPr>
          <w:rFonts w:ascii="Arial" w:hAnsi="Arial"/>
          <w:color w:val="000000"/>
          <w:sz w:val="20"/>
        </w:rPr>
        <w:t>In addition, over the last several years, the U.S. government has shut down at times, including for a 43-day period that began on October 1, 2025, and certain federal agencies, such as the FDA, have had to furlough critical employees and stop critical activities.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Changes in tax laws or in their implementation or interpretation may adversely affect us or our investors.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 For example, under Section 174 of the Internal Revenue Code of 1986, as amended, or the Code, in taxable years beginning after December 31, 2021, expenses that are incurred for research and development outside the United States will be capitalized and amortized, which may have an adverse effect on our cash flow. Additionally, on July 4, 2025, the One Big Beautiful Bill Act, or OBBBA, was signed into law and made significant changes to U.S. federal tax law. The OBBBA provides that for taxable years beginning after December 31, 2024, expenses that are incurred for research and development performed in the United States may, at the taxpayer’s election, be immediately deducted or capitalized and amortized. The OBBBA also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Future changes in tax law could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pStyle w:val="TextBody"/>
        <w:bidi w:val="0"/>
        <w:spacing w:before="80" w:after="283"/>
        <w:jc w:val="both"/>
        <w:rPr>
          <w:rFonts w:ascii="Times New Roman" w:hAnsi="Times New Roman"/>
          <w:sz w:val="20"/>
        </w:rPr>
      </w:pPr>
      <w:r>
        <w:rPr>
          <w:rFonts w:ascii="Arial" w:hAnsi="Arial"/>
          <w:color w:val="000000"/>
          <w:sz w:val="20"/>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data breaches from inadvertent or intentional actions (such as error or theft) by our employees, contractors, consultants, business partners, and/or other third parties, ransomware, denial-of-service attacks, social engineering schemes (including phishing attacks), attacks enhanced or facilitated by artificial intelligence, or AI, and other means that affect service reliability and threaten the confidentiality, integrity and availability of information), which may compromise our system infrastructure as well as lead to unauthorized access, disclosure, misuse or acquisition of information. We and/or our service providers have from time to time and may in the future continue to experience threats, data breaches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data breach or other data and cybersecurity issues. To the extent that any disruption or cybersecurity incident or data breach results in a loss of, or damage to, our data or applications, or inappropriate disclosure or misuse of or access to confidential or proprietary information, we could incur liability and the further development of our future product candidates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data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data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data breach were to occur and the confidentiality, integrity or availability of our data or the data of our collaborators were disrupted, we could incur significant liability, which could negatively affect our business and damage our reputation. Our contracts may or may not contain data protection requirements and/or limitations of liability, and where they do, there can be no assurance that such provisions will be sufficient to protect us from liabilities, damages, or claims related to our privacy and data security obligations or afford us sufficient rights to recover from third parties for their failures related to such obligations.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we may not have adequate insurance coverage or otherwise to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At the state level, the CCPA, as amended by the California Privacy Rights Act (CPRA), established a comprehensive privacy framework for covered businesses by creating an expanded definition of personal information, established new individual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Although there are limited exemptions for protected health information covered under HIPAA and clinical trial data, the CCPA may increase our compliance costs and potential liability.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Similar comprehensive consumer privacy laws have been passed or proposed in numerous other states. Proposed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Washington’s My Health My Data Act, which became effective on March 31, 2024, regulates the collection, processing and sale of consumer health information. The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These various privacy and security laws may impact our business activities. In addition,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Although the UK is regarded as one of the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or the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w:t>
      </w:r>
    </w:p>
    <w:p>
      <w:pPr>
        <w:pStyle w:val="TextBody"/>
        <w:bidi w:val="0"/>
        <w:spacing w:before="240" w:after="283"/>
        <w:jc w:val="both"/>
        <w:rPr>
          <w:rFonts w:ascii="Times New Roman" w:hAnsi="Times New Roman"/>
          <w:sz w:val="20"/>
        </w:rPr>
      </w:pPr>
      <w:r>
        <w:rPr>
          <w:rFonts w:ascii="Arial" w:hAnsi="Arial"/>
          <w:color w:val="000000"/>
          <w:sz w:val="20"/>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pStyle w:val="TextBody"/>
        <w:bidi w:val="0"/>
        <w:spacing w:before="240" w:after="283"/>
        <w:jc w:val="both"/>
        <w:rPr>
          <w:rFonts w:ascii="Arial" w:hAnsi="Arial"/>
          <w:color w:val="000000"/>
          <w:sz w:val="20"/>
        </w:rPr>
      </w:pPr>
      <w:r>
        <w:rPr>
          <w:rFonts w:ascii="Arial" w:hAnsi="Arial"/>
          <w:color w:val="000000"/>
          <w:sz w:val="20"/>
        </w:rPr>
        <w:t>Regulators and legislators in the United States are increasingly scrutinizing and restricting certain personal data transfers and transactions involving foreign countries. For example, the Department of Justice’s January 8, 2025 final rule on “Preventing Access to Americans’ Bulk Sensitive Personal Data and United States Government-Related Data by Countries of Concern”,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pStyle w:val="TextBody"/>
        <w:bidi w:val="0"/>
        <w:spacing w:before="240" w:after="283"/>
        <w:jc w:val="both"/>
        <w:rPr>
          <w:rFonts w:ascii="Arial" w:hAnsi="Arial"/>
          <w:b/>
          <w:i/>
          <w:color w:val="000000"/>
          <w:sz w:val="20"/>
        </w:rPr>
      </w:pPr>
      <w:r>
        <w:rPr>
          <w:rFonts w:ascii="Arial" w:hAnsi="Arial"/>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80" w:after="283"/>
        <w:jc w:val="both"/>
        <w:rPr>
          <w:rFonts w:ascii="Arial" w:hAnsi="Arial"/>
          <w:color w:val="000000"/>
          <w:sz w:val="20"/>
        </w:rPr>
      </w:pPr>
      <w:r>
        <w:rPr>
          <w:rFonts w:ascii="Arial" w:hAnsi="Arial"/>
          <w:color w:val="000000"/>
          <w:sz w:val="20"/>
        </w:rPr>
        <w:t>We may use and integrate AI into our business processes both in our own development and implementation of AI and through the adoption of commercially available tools.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pStyle w:val="TextBody"/>
        <w:bidi w:val="0"/>
        <w:spacing w:before="80" w:after="283"/>
        <w:jc w:val="both"/>
        <w:rPr>
          <w:rFonts w:ascii="Arial" w:hAnsi="Arial"/>
          <w:color w:val="000000"/>
          <w:sz w:val="20"/>
        </w:rPr>
      </w:pPr>
      <w:r>
        <w:rPr>
          <w:rFonts w:ascii="Arial" w:hAnsi="Arial"/>
          <w:color w:val="000000"/>
          <w:sz w:val="20"/>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Additionally,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pStyle w:val="TextBody"/>
        <w:bidi w:val="0"/>
        <w:spacing w:before="80" w:after="283"/>
        <w:jc w:val="both"/>
        <w:rPr>
          <w:rFonts w:ascii="Times New Roman" w:hAnsi="Times New Roman"/>
          <w:sz w:val="20"/>
        </w:rPr>
      </w:pPr>
      <w:r>
        <w:rPr>
          <w:rFonts w:ascii="Arial" w:hAnsi="Arial"/>
          <w:color w:val="000000"/>
          <w:sz w:val="20"/>
        </w:rPr>
        <w:t>Moreover,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began implementing the Artificial Intelligence Act, or the AI Act, on August 1, 2024, with significant parts of the law scheduled have come into effect. As currently enacted, the AI Act, which may be amended as part of the EU’s Digital Omnibus, imposes significant obligations on providers and deployers of high-risk AI systems, and encourages providers and deployers of AI systems to account for EU ethical principles in their development and use of these systems. The scope of requirements depends on judicial interpretations and forthcoming legislative amendments, and non-compliance can lead to significant fines.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FDA has advanced guidance and proposed frameworks for regulating AI in drug discovery, marketing submissions, and medical device development. At the same time,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Any of these effects could damage our reputation, result in the loss of valuable property and information, cause us to breach applicable laws and regulations, and adversely impact our business.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future acquisitions, in-licensing or strategic partnerships may increase our capital requirements, dilute our stockholders, divert our management’s attention,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assumption of indebtedness or contingent liabilities;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issuance of our equity securities which would result in dilution to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assimilation of operations, intellectual property, products and product candidates of an acquired company, including difficulties associated with integrating new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diversion of our management’s attention from our existing product candidates and initiatives in pursuing such an acquisition or strategic partnership;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spend substantial operational, financial and management resources in integrating new businesses, technologies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or the third parties upon whom we depend on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Product liability lawsuits against us could cause us to incur substantial liabilities and could limit commercialization of any current or future product candidates that we may develop.</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decreased demand for any current or future product candidates that we may develop;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injury to our reputation and significant negative media attention;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significant costs to defend the related litigation;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diversion of management’s time and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revenue;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decline in our stock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inability to commercialize any current or future product candidates that we may develop. </w:t>
      </w:r>
    </w:p>
    <w:p>
      <w:pPr>
        <w:pStyle w:val="TextBody"/>
        <w:bidi w:val="0"/>
        <w:spacing w:before="240" w:after="283"/>
        <w:jc w:val="both"/>
        <w:rPr>
          <w:rFonts w:ascii="Times New Roman" w:hAnsi="Times New Roman"/>
          <w:sz w:val="20"/>
        </w:rPr>
      </w:pPr>
      <w:r>
        <w:rPr>
          <w:rFonts w:ascii="Arial" w:hAnsi="Arial"/>
          <w:color w:val="000000"/>
          <w:sz w:val="20"/>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employees and independent contractors, including principal investigators, consultants, commercial collaborators, academic collaborators, service providers, partners and other vendors may engage in misconduct or other improper activities, including noncompliance with regulatory standards and requirements, which could have an adverse effect on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exposed to the risk that our employees and independent contractors, including principal investigators, consultants, any future commercial collaborators, academic collaborators, service providers, partners and other vendors may engage in misconduct or other illegal activity. Misconduct by these parties could include intentional, reckless and/or negligent conduct or other unauthorized activities that violate the laws and regulations of the FDA, the EMA and comparable foreign regulatory authorities,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We have adopted a code of business conduct and ethics, but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Risks Related to Our Common Stock</w:t>
      </w:r>
    </w:p>
    <w:p>
      <w:pPr>
        <w:pStyle w:val="TextBody"/>
        <w:bidi w:val="0"/>
        <w:spacing w:before="80" w:after="283"/>
        <w:jc w:val="both"/>
        <w:rPr>
          <w:rFonts w:ascii="Times New Roman" w:hAnsi="Times New Roman"/>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principal stockholders and management own a significant percentage of our stock and will be able to exert significant influence over matters subject to stockholder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Based on the beneficial ownership of our common stock as of June 30, 2026, our executive officers, directors, holders of 5% or more of our capital stock and their respective affiliates beneficially owned approximately 33.9%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Under Section 382 of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As of December 31, 2025, we had accumulated federal and state NOL carryforwards of approximately $318.9 million and $274.4 million, respectively. Furthermore, our ability to utilize our NOLs or credits is conditioned upon our attaining profitability and generating the U.S. federal and state taxable income. As a result, the amount of the NOL and tax credit carryforwards presented in our financial statements could be limited and may expire unutilized. Under current law, unused U.S. federal NOL carryforwards generated in taxable years beginning after December 31, 2017 are not subject to expiration and may be carried forward indefinitely. For taxable years beginning after December 31, 2020, however, the deductibility of such U.S. federal NOLs generated for tax years beginning after December 31, 2017 is limited to 80% of our taxable income in any future taxable year.</w:t>
      </w:r>
    </w:p>
    <w:p>
      <w:pPr>
        <w:pStyle w:val="TextBody"/>
        <w:bidi w:val="0"/>
        <w:spacing w:before="240" w:after="283"/>
        <w:jc w:val="both"/>
        <w:rPr>
          <w:rFonts w:ascii="Arial" w:hAnsi="Arial"/>
          <w:b/>
          <w:i/>
          <w:color w:val="000000"/>
          <w:sz w:val="20"/>
        </w:rPr>
      </w:pPr>
      <w:r>
        <w:rPr>
          <w:rFonts w:ascii="Arial" w:hAnsi="Arial"/>
          <w:b/>
          <w:i/>
          <w:color w:val="000000"/>
          <w:sz w:val="20"/>
        </w:rPr>
        <w:t>Because we do not anticipate paying any cash dividends on our capital stock in the foreseeable future, capital appreciation, if any, will be your sole source of gain.</w:t>
      </w:r>
    </w:p>
    <w:p>
      <w:pPr>
        <w:pStyle w:val="TextBody"/>
        <w:bidi w:val="0"/>
        <w:spacing w:before="80" w:after="283"/>
        <w:jc w:val="both"/>
        <w:rPr>
          <w:rFonts w:ascii="Times New Roman" w:hAnsi="Times New Roman"/>
          <w:sz w:val="20"/>
        </w:rPr>
      </w:pPr>
      <w:r>
        <w:rPr>
          <w:rFonts w:ascii="Arial" w:hAnsi="Arial"/>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our operating results to be subject to quarterly fluctuations. Our net loss and other operating results will be affected by numerous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variations in the level of expense related to the ongoing development of bel-sar or future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clinical trials, or the addition or termination of clinical trials or funding support by us, or existing or future collaborators or licensing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intellectual property infringement lawsuit or opposition, interference or cancellation proceeding in which we may become involved;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additions and departures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strategic decisions by us or our competitors, such as acquisitions, divestitures, spin-offs, joint ventures, strategic investments or changes in business strategy;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any of our product candidates receives regulatory approval, the terms of such approval and market acceptance and demand for such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developments affecting our product candidates or those of our competitors;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general market and economic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Board divided into three classes serving staggered three-year terms, such that not all members of the Board will be elected at one time;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prohibition on stockholder action through written consent, which requires that all stockholder actions be taken at a meeting of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advance notice requirements for stockholder proposals and nominations for election to our Board;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authority of the Board to issue preferred stock on terms determined by the Board without stockholder approval, which preferred stock may include rights superior to the rights of the holders of common stock. </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pStyle w:val="TextBody"/>
        <w:bidi w:val="0"/>
        <w:spacing w:before="240" w:after="283"/>
        <w:jc w:val="both"/>
        <w:rPr>
          <w:rFonts w:ascii="Arial" w:hAnsi="Arial"/>
          <w:b/>
          <w:i/>
          <w:color w:val="000000"/>
          <w:sz w:val="20"/>
        </w:rPr>
      </w:pPr>
      <w:r>
        <w:rPr>
          <w:rFonts w:ascii="Arial" w:hAnsi="Arial"/>
          <w:b/>
          <w:i/>
          <w:color w:val="000000"/>
          <w:sz w:val="20"/>
        </w:rPr>
        <w:t>Future sales and issuances of our common stock or rights to acquire shares of our common stock, could result in additional dilution to the ownership of our stockholders and cause the market price of our common stock to decline significantly.</w:t>
      </w:r>
    </w:p>
    <w:p>
      <w:pPr>
        <w:pStyle w:val="TextBody"/>
        <w:bidi w:val="0"/>
        <w:spacing w:before="80" w:after="283"/>
        <w:jc w:val="both"/>
        <w:rPr>
          <w:rFonts w:ascii="Arial" w:hAnsi="Arial"/>
          <w:color w:val="000000"/>
          <w:sz w:val="20"/>
        </w:rPr>
      </w:pPr>
      <w:r>
        <w:rPr>
          <w:rFonts w:ascii="Arial" w:hAnsi="Arial"/>
          <w:color w:val="000000"/>
          <w:sz w:val="20"/>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Any sale or issuance of securities may also cause the market price of our stock to decline.</w:t>
      </w:r>
    </w:p>
    <w:p>
      <w:pPr>
        <w:pStyle w:val="TextBody"/>
        <w:bidi w:val="0"/>
        <w:spacing w:before="240" w:after="283"/>
        <w:jc w:val="both"/>
        <w:rPr>
          <w:rFonts w:ascii="Arial" w:hAnsi="Arial"/>
          <w:color w:val="000000"/>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June 30, 2026, we have 103,480,053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both"/>
        <w:rPr>
          <w:rFonts w:ascii="Arial" w:hAnsi="Arial"/>
          <w:color w:val="000000"/>
          <w:sz w:val="20"/>
        </w:rPr>
      </w:pPr>
      <w:r>
        <w:rPr>
          <w:rFonts w:ascii="Arial" w:hAnsi="Arial"/>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40" w:after="283"/>
        <w:jc w:val="both"/>
        <w:rPr>
          <w:rFonts w:ascii="Arial" w:hAnsi="Arial"/>
          <w:color w:val="000000"/>
          <w:sz w:val="20"/>
        </w:rPr>
      </w:pPr>
      <w:r>
        <w:rPr>
          <w:rFonts w:ascii="Arial" w:hAnsi="Arial"/>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delayed access to deposits or other financial assets or the uninsured loss of deposits or other financial assets;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access to revolving existing credit facilities or other working capital sources and/or the inability to refund, roll over or extend the maturity of, or enter into new credit facilities or other working capital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contractual obligations that require us to maintain letters of credit or other credit support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financial covenants in our credit agreements or credit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cross-defaults in other credit agreements, credit arrangements or operating or financing agreements; 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termination of cash management arrangements and/or delays in accessing or actual loss of funds subject to cash management arrangements.</w:t>
      </w:r>
    </w:p>
    <w:p>
      <w:pPr>
        <w:pStyle w:val="TextBody"/>
        <w:bidi w:val="0"/>
        <w:spacing w:before="240" w:after="283"/>
        <w:jc w:val="both"/>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preclinical studies and results or enrollment of clinical trials of bel-sar or our future product candidates, or those of our potential future competitors or our existing or future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or legal developments in the United States and other countries, especially changes in laws or regulations applicable to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future competitive products or technologies;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introductions and announcements of new products by us, our future commercialization partners, or our competitors, and the timing of these introductions or announcements;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actions taken by regulatory agencies with respect to our products, clinical trials, manufacturing process or sales and marketing terms;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variations in our financial results or those of companies that are perceived to be similar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our efforts to acquire or in-license additional technologies, products or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concerning any future collaborations, including but not limited to those with our sources of manufacturing supply and our commercialization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announcements by us or our competitors of significant acquisitions, strategic collaborations, joint ventures or capital commitments;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or disputes concerning patents or other proprietary rights, including patents, litigation matters and our ability to obtain patent protection for bel-sar or our future product candidates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or inability to raise additional capital and the terms on which we raise it;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failure or the failure of our competitors to meet analysts’ projections or guidance that we or our competitors may give to the market;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fluctuations in the valuation of companies perceived by investors to be comparable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 and expectation of additional financing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speculation in the press or investment community;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trading volume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sales of our common stock by us 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concentrated ownership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accounting principles;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natural disasters, pandemics and other calamities;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acts of war or periods of widespread civil unrest, including the increasingly volatile global economic conditions resulting from the Russia-Ukraine conflict and the conflict in the Middle East;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general economic, industry, and market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incurred and will continue to incur increased costs as a result of operating as a public company, and our management devotes substantial time to compliance initiatives.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pStyle w:val="TextBody"/>
        <w:bidi w:val="0"/>
        <w:spacing w:before="80" w:after="283"/>
        <w:jc w:val="both"/>
        <w:rPr>
          <w:rFonts w:ascii="Arial" w:hAnsi="Arial"/>
          <w:color w:val="000000"/>
          <w:sz w:val="20"/>
        </w:rPr>
      </w:pPr>
      <w:r>
        <w:rPr>
          <w:rFonts w:ascii="Arial" w:hAnsi="Arial"/>
          <w:color w:val="000000"/>
          <w:sz w:val="20"/>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Additionally, on April 2, 2025, the United States imposed substantial tariffs on most countries throughout the world. Such tariffs were struck down in February 2026 by a U.S. Supreme Court ruling and new global tariffs were subsequently imposed. Although these new tariffs may be temporary and may be subject to legal challenge, the Trump administration has threatened to continue to broadly impose tariffs, which could lead to corresponding punitive actions by countries with which the United States trades. Historically, tariffs have led to increased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80" w:after="283"/>
        <w:jc w:val="both"/>
        <w:rPr>
          <w:rFonts w:ascii="Arial" w:hAnsi="Arial"/>
          <w:color w:val="000000"/>
          <w:sz w:val="20"/>
        </w:rPr>
      </w:pPr>
      <w:r>
        <w:rPr>
          <w:rFonts w:ascii="Arial" w:hAnsi="Arial"/>
          <w:color w:val="000000"/>
          <w:sz w:val="20"/>
        </w:rPr>
        <w:t>In addition, the current military conflicts between Russia and Ukraine and in the Middle East and elsewhere,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pStyle w:val="TextBody"/>
        <w:bidi w:val="0"/>
        <w:spacing w:before="240" w:after="283"/>
        <w:jc w:val="both"/>
        <w:rPr>
          <w:rFonts w:ascii="Arial" w:hAnsi="Arial"/>
          <w:b/>
          <w:color w:val="000000"/>
          <w:sz w:val="20"/>
        </w:rPr>
      </w:pPr>
      <w:bookmarkStart w:id="16" w:name="item_2_unregistered_sales"/>
      <w:bookmarkEnd w:id="16"/>
      <w:r>
        <w:rPr>
          <w:rFonts w:ascii="Arial" w:hAnsi="Arial"/>
          <w:b/>
          <w:color w:val="000000"/>
          <w:sz w:val="20"/>
        </w:rPr>
        <w:t>Item 2. Unregistered Sales of Equity Securities and Use of Proceeds.</w:t>
      </w:r>
    </w:p>
    <w:p>
      <w:pPr>
        <w:pStyle w:val="TextBody"/>
        <w:bidi w:val="0"/>
        <w:spacing w:before="80" w:after="283"/>
        <w:jc w:val="both"/>
        <w:rPr>
          <w:rFonts w:ascii="Arial" w:hAnsi="Arial"/>
          <w:b/>
          <w:color w:val="000000"/>
          <w:sz w:val="20"/>
        </w:rPr>
      </w:pPr>
      <w:r>
        <w:rPr>
          <w:rFonts w:ascii="Arial" w:hAnsi="Arial"/>
          <w:b/>
          <w:color w:val="000000"/>
          <w:sz w:val="20"/>
        </w:rPr>
        <w:t>(a) Recent Sales of Unregistered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(b) Use of Proceeds from the Initial Public Offering of Common Stock</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(c) Issuer Purchases of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9" w:name="item_5_other_information"/>
      <w:bookmarkEnd w:id="19"/>
      <w:r>
        <w:rPr>
          <w:rFonts w:ascii="Arial" w:hAnsi="Arial"/>
          <w:b/>
          <w:color w:val="000000"/>
          <w:sz w:val="20"/>
        </w:rPr>
        <w:t>Item 5. Other Information.</w:t>
      </w:r>
    </w:p>
    <w:p>
      <w:pPr>
        <w:pStyle w:val="TextBody"/>
        <w:bidi w:val="0"/>
        <w:spacing w:before="240" w:after="283"/>
        <w:jc w:val="both"/>
        <w:rPr>
          <w:rFonts w:ascii="Times New Roman" w:hAnsi="Times New Roman"/>
          <w:sz w:val="20"/>
        </w:rPr>
      </w:pPr>
      <w:r>
        <w:rPr>
          <w:rFonts w:ascii="Arial" w:hAnsi="Arial"/>
          <w:b/>
          <w:color w:val="000000"/>
          <w:sz w:val="20"/>
        </w:rPr>
        <w:t>(c) Insider Trading Arrangements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None of our directors or officers, as defined in Rule 16a-1(f) under the Securities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as defined in Item 408(c) of Regulation S-K, during the quarter ended June 30, 2026.</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4"/>
        <w:gridCol w:w="146"/>
        <w:gridCol w:w="9245"/>
      </w:tblGrid>
      <w:tr>
        <w:trPr/>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5" w:type="dxa"/>
            <w:tcBorders/>
            <w:vAlign w:val="center"/>
          </w:tcPr>
          <w:p>
            <w:pPr>
              <w:pStyle w:val="TableContents"/>
              <w:bidi w:val="0"/>
              <w:spacing w:before="0" w:after="283"/>
              <w:jc w:val="left"/>
              <w:rPr>
                <w:sz w:val="4"/>
                <w:szCs w:val="4"/>
              </w:rPr>
            </w:pPr>
            <w:r>
              <w:rPr>
                <w:sz w:val="4"/>
                <w:szCs w:val="4"/>
              </w:rPr>
            </w:r>
          </w:p>
        </w:tc>
      </w:tr>
      <w:tr>
        <w:trPr/>
        <w:tc>
          <w:tcPr>
            <w:tcW w:w="81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_1.htm">
              <w:r>
                <w:rPr>
                  <w:rStyle w:val="InternetLink"/>
                  <w:rFonts w:ascii="Arial" w:hAnsi="Arial"/>
                  <w:color w:val="0000FF"/>
                  <w:sz w:val="20"/>
                  <w:u w:val="single"/>
                </w:rPr>
                <w:t>Tenth Amended and Restated Certificate of Incorporation of the Registrant, as currently in effect, as amended by the Certificate of Amendment, dated June 20, 2024, and the Certificate of Amendment, dated August 5, 2026.</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Amended and Restated Bylaws of the Registrant, as currently in effect (incorporated by reference to Exhibit 3.2 of the Registrant’s Annual Report on Form 10-K (File No. 001-40971) filed on March 23, 2022).</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Fifth Amended and Restated Investors’ Rights Agreement (incorporated by reference to Exhibit 4.2 to the Registrant’s Registration Statement on Form S-1, as amended (File No. 333-260156) filed on October 8, 2021)</w:t>
              </w:r>
            </w:hyperlink>
            <w:r>
              <w:rPr>
                <w:rFonts w:ascii="Arial" w:hAnsi="Arial"/>
                <w:color w:val="000000"/>
                <w:sz w:val="20"/>
              </w:rPr>
              <w:t>.</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Form of Pre-Funded Warrant to Purchase Common Stock (incorporated by reference to Exhibit 4.1 of the Registrant’s Current Report on Form 8-K (File No. 001-40971) filed on May 5, 2026).</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1.htm">
              <w:r>
                <w:rPr>
                  <w:rStyle w:val="InternetLink"/>
                  <w:rFonts w:ascii="Arial" w:hAnsi="Arial"/>
                  <w:color w:val="0000FF"/>
                  <w:sz w:val="20"/>
                  <w:u w:val="single"/>
                </w:rPr>
                <w:t>Employment Offer Letter, dated as of April 29, 2026, by and between Natalie Holles and the Registrant.</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2.htm">
              <w:r>
                <w:rPr>
                  <w:rStyle w:val="InternetLink"/>
                  <w:rFonts w:ascii="Arial" w:hAnsi="Arial"/>
                  <w:color w:val="0000FF"/>
                  <w:sz w:val="20"/>
                  <w:u w:val="single"/>
                </w:rPr>
                <w:t>Amended and Restated Consulting Agreement, dated as of April 29, 2026, by and between Elisabet de los Pinos and the Registrant.</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3.htm">
              <w:r>
                <w:rPr>
                  <w:rStyle w:val="InternetLink"/>
                  <w:rFonts w:ascii="Arial" w:hAnsi="Arial"/>
                  <w:color w:val="0000FF"/>
                  <w:sz w:val="20"/>
                  <w:u w:val="single"/>
                </w:rPr>
                <w:t>Separation Agreement, dated as of April 29, 2026, by and between Elisabet de los Pinos and the Registrant.</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4.htm">
              <w:r>
                <w:rPr>
                  <w:rStyle w:val="InternetLink"/>
                  <w:rFonts w:ascii="Arial" w:hAnsi="Arial"/>
                  <w:color w:val="0000FF"/>
                  <w:sz w:val="20"/>
                  <w:u w:val="single"/>
                </w:rPr>
                <w:t>Amendment No.1 to the 2021 Stock Option and Incentive Plan.</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5.htm">
              <w:r>
                <w:rPr>
                  <w:rStyle w:val="InternetLink"/>
                  <w:rFonts w:ascii="Arial" w:hAnsi="Arial"/>
                  <w:color w:val="0000FF"/>
                  <w:sz w:val="20"/>
                  <w:u w:val="single"/>
                </w:rPr>
                <w:t>Stock Purchase Agreement, dated as of April 30, 2026, by and between the Registrant and Matrix Capital Management Master Fund, LP.</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Aura Biosciences, Inc. Amended and Restated Non-Employee Director Compensation Policy (incorporated by reference to Exhibit 10.1 of the Registrant’s Current Report on Form 8-K (File No. 001-40971) filed on July 8, 2026)</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2_1.htm">
              <w:r>
                <w:rPr>
                  <w:rStyle w:val="InternetLink"/>
                  <w:rFonts w:ascii="Arial" w:hAnsi="Arial"/>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 Filed herewith.</w:t>
      </w:r>
    </w:p>
    <w:p>
      <w:pPr>
        <w:pStyle w:val="TextBody"/>
        <w:bidi w:val="0"/>
        <w:jc w:val="left"/>
        <w:rPr>
          <w:rFonts w:ascii="Arial" w:hAnsi="Arial"/>
          <w:color w:val="000000"/>
          <w:sz w:val="20"/>
        </w:rPr>
      </w:pPr>
      <w:r>
        <w:rPr>
          <w:rFonts w:ascii="Arial" w:hAnsi="Arial"/>
          <w:color w:val="000000"/>
          <w:sz w:val="20"/>
        </w:rPr>
        <w:t> Certain information in this document (indicated by asterisks) has been excluded pursuant to Regulation S-K, Item 601(a)(6).</w:t>
      </w:r>
    </w:p>
    <w:p>
      <w:pPr>
        <w:pStyle w:val="TextBody"/>
        <w:bidi w:val="0"/>
        <w:spacing w:before="60" w:after="283"/>
        <w:jc w:val="both"/>
        <w:rPr>
          <w:rFonts w:ascii="Arial" w:hAnsi="Arial"/>
          <w:color w:val="000000"/>
          <w:sz w:val="20"/>
        </w:rPr>
      </w:pPr>
      <w:r>
        <w:rPr>
          <w:rFonts w:ascii="Arial" w:hAnsi="Arial"/>
          <w:color w:val="000000"/>
          <w:sz w:val="20"/>
        </w:rPr>
        <w:t># 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pStyle w:val="TextBody"/>
        <w:bidi w:val="0"/>
        <w:spacing w:before="60" w:after="283"/>
        <w:jc w:val="both"/>
        <w:rPr>
          <w:rFonts w:ascii="Arial" w:hAnsi="Arial"/>
          <w:color w:val="000000"/>
          <w:sz w:val="20"/>
        </w:rPr>
      </w:pPr>
      <w:r>
        <w:rPr>
          <w:rFonts w:ascii="Arial" w:hAnsi="Arial"/>
          <w:color w:val="000000"/>
          <w:sz w:val="20"/>
        </w:rPr>
        <w:t>^ Indicates a management contract or any compensatory plan, contract or arrangement.</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2071"/>
        <w:gridCol w:w="146"/>
        <w:gridCol w:w="406"/>
        <w:gridCol w:w="36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Aura Biosciences, Inc.</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Natalie Holles</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Natalie Holles</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President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Anthony Gibney</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Anthony Gibney</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and Business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Amy Elazzouzi</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Amy Elazzouzi</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Senior Vice President, Finance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aura-ex3_1.htm"/>
      <w:bookmarkStart w:id="23" w:name="ksauraex3_1"/>
      <w:bookmarkEnd w:id="22"/>
      <w:bookmarkEnd w:id="23"/>
      <w:r>
        <w:rPr>
          <w:rFonts w:ascii="Times New Roman" w:hAnsi="Times New Roman"/>
          <w:b/>
          <w:color w:val="000000"/>
          <w:sz w:val="24"/>
        </w:rPr>
        <w:t>Exhibit 3.1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TENTH AMENDED AND RESTATED</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CERTIFICATE OF INCORPORATION</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AURA BIOSCIENCES, INC.</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Aura Biosciences, Inc., a corporation organized and existing under the laws of the State of Delaware (the “Corporation”), hereby certifies as follows:</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1. The name of the Corporation is Aura Biosciences, Inc. The date of the filing of its original Certificate of Incorporation with the Secretary of State of the State of Delaware was January 13, 2009 (the “Original Certificate”). The name under which the Corporation filed the Original Certificate was Aura Biosciences, Inc.</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2. This Tenth Amended and Restated Certificate of Incorporation (the “Certificate”) amends, restates and integrates the provisions of the Ninth Amended and Restated Certificate of Incorporation that was filed with the Secretary of State of the State of Delaware on March 17, 2021 (the “Amended and Restated Certificate”), and was duly adopted in accordance with the provisions of Sections 228, 242 and 245 of the General Corporation Law of the State of Delaware (the “DGCL”).</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3. The text of the Amended and Restated Certificate is hereby amended and restated in its entirety to provide as herein set forth in full.</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name of the Corporation is Aura Biosciences, Inc.</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II</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address of the Corporation’s registered office in the State of Delaware is c/o Corporation Trust Center, 1209 Orange Street, Wilmington, DE 19801 and County of New Castle. The name of its registered agent at such address is The Corporation Trust Company.</w:t>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III</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purpose of the Corporation is to engage in any lawful act or activity for which corporations may be organized under the DGCL.</w:t>
      </w:r>
    </w:p>
    <w:p>
      <w:pPr>
        <w:pStyle w:val="TextBody"/>
        <w:bidi w:val="0"/>
        <w:ind w:left="0" w:right="0" w:firstLine="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IV</w:t>
      </w:r>
    </w:p>
    <w:p>
      <w:pPr>
        <w:pStyle w:val="TextBody"/>
        <w:bidi w:val="0"/>
        <w:spacing w:before="240" w:after="240"/>
        <w:jc w:val="center"/>
        <w:rPr/>
      </w:pPr>
      <w:r>
        <w:rPr>
          <w:rFonts w:ascii="Times New Roman" w:hAnsi="Times New Roman"/>
          <w:b/>
          <w:color w:val="000000"/>
          <w:sz w:val="28"/>
          <w:u w:val="single"/>
        </w:rPr>
        <w:br/>
        <w:br/>
      </w:r>
      <w:r>
        <w:rPr>
          <w:rFonts w:ascii="Times New Roman" w:hAnsi="Times New Roman"/>
          <w:color w:val="000000"/>
          <w:sz w:val="24"/>
          <w:u w:val="single"/>
        </w:rPr>
        <w:t>CAPITAL STOCK</w:t>
      </w:r>
    </w:p>
    <w:p>
      <w:pPr>
        <w:pStyle w:val="TextBody"/>
        <w:bidi w:val="0"/>
        <w:ind w:left="0" w:right="0" w:firstLine="720"/>
        <w:jc w:val="left"/>
        <w:rPr>
          <w:rFonts w:ascii="Times New Roman" w:hAnsi="Times New Roman"/>
          <w:sz w:val="20"/>
        </w:rPr>
      </w:pPr>
      <w:r>
        <w:rPr>
          <w:rFonts w:ascii="Times New Roman" w:hAnsi="Times New Roman"/>
          <w:color w:val="000000"/>
          <w:sz w:val="24"/>
        </w:rPr>
        <w:t>The total number of shares of capital stock which the Corporation shall have authority to issue is one hundred and sixty million (160,000,000), of which (i) one hundred and fifty million (150,000,000) shares shall be a class designated as common stock, par value $0.00001 per share (the “Common Stock”), and (ii) ten million (10,000,000) shares shall be a class designated as undesignated preferred stock, par value $0.00001 per share (the “Undesignated Preferred Stock”).</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powers, preferences and rights of, and the qualifications, limitations and restrictions upon, each class or series of stock shall be determined in accordance with, or as set forth below in, this Article IV.</w:t>
      </w:r>
    </w:p>
    <w:p>
      <w:pPr>
        <w:pStyle w:val="TextBody"/>
        <w:bidi w:val="0"/>
        <w:ind w:left="0" w:right="0" w:firstLine="720"/>
        <w:jc w:val="left"/>
        <w:rPr/>
      </w:pPr>
      <w:r>
        <w:rPr/>
        <w:t> </w:t>
      </w:r>
    </w:p>
    <w:p>
      <w:pPr>
        <w:pStyle w:val="TextBody"/>
        <w:bidi w:val="0"/>
        <w:jc w:val="center"/>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COMMON STOCK</w:t>
      </w:r>
    </w:p>
    <w:p>
      <w:pPr>
        <w:pStyle w:val="TextBody"/>
        <w:bidi w:val="0"/>
        <w:jc w:val="left"/>
        <w:rPr/>
      </w:pPr>
      <w:r>
        <w:rPr/>
        <w:t> </w:t>
      </w:r>
    </w:p>
    <w:p>
      <w:pPr>
        <w:pStyle w:val="TextBody"/>
        <w:bidi w:val="0"/>
        <w:ind w:left="0" w:right="0" w:firstLine="1440"/>
        <w:jc w:val="left"/>
        <w:rPr>
          <w:rFonts w:ascii="Times New Roman" w:hAnsi="Times New Roman"/>
          <w:color w:val="000000"/>
          <w:sz w:val="24"/>
        </w:rPr>
      </w:pPr>
      <w:r>
        <w:rPr>
          <w:rFonts w:ascii="Times New Roman" w:hAnsi="Times New Roman"/>
          <w:color w:val="000000"/>
          <w:sz w:val="24"/>
        </w:rPr>
        <w:t>Subject to all the rights, powers and preferences of the Undesignated Preferred Stock and except as provided by law or in this Certificate (or in any certificate of designations of any series of Undesignated Preferred Stock):</w:t>
      </w:r>
    </w:p>
    <w:p>
      <w:pPr>
        <w:pStyle w:val="TextBody"/>
        <w:bidi w:val="0"/>
        <w:jc w:val="left"/>
        <w:rPr/>
      </w:pPr>
      <w:r>
        <w:rPr/>
        <w:t> </w:t>
      </w:r>
    </w:p>
    <w:p>
      <w:pPr>
        <w:pStyle w:val="TextBody"/>
        <w:bidi w:val="0"/>
        <w:ind w:left="0" w:right="0" w:firstLine="2160"/>
        <w:jc w:val="left"/>
        <w:rPr>
          <w:rFonts w:ascii="Times New Roman" w:hAnsi="Times New Roman"/>
          <w:sz w:val="20"/>
        </w:rPr>
      </w:pPr>
      <w:r>
        <w:rPr>
          <w:rFonts w:ascii="Times New Roman" w:hAnsi="Times New Roman"/>
          <w:color w:val="000000"/>
          <w:sz w:val="24"/>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pStyle w:val="TextBody"/>
        <w:bidi w:val="0"/>
        <w:jc w:val="left"/>
        <w:rPr/>
      </w:pPr>
      <w:r>
        <w:rPr/>
        <w:t> </w:t>
      </w:r>
    </w:p>
    <w:p>
      <w:pPr>
        <w:pStyle w:val="TextBody"/>
        <w:bidi w:val="0"/>
        <w:ind w:left="0" w:right="0" w:firstLine="2160"/>
        <w:jc w:val="left"/>
        <w:rPr>
          <w:rFonts w:ascii="Times New Roman" w:hAnsi="Times New Roman"/>
          <w:color w:val="000000"/>
          <w:sz w:val="24"/>
        </w:rPr>
      </w:pPr>
      <w:r>
        <w:rPr>
          <w:rFonts w:ascii="Times New Roman" w:hAnsi="Times New Roman"/>
          <w:color w:val="000000"/>
          <w:sz w:val="24"/>
        </w:rPr>
        <w:t>(b) 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2160"/>
        <w:jc w:val="left"/>
        <w:rPr>
          <w:rFonts w:ascii="Times New Roman" w:hAnsi="Times New Roman"/>
          <w:color w:val="000000"/>
          <w:sz w:val="24"/>
        </w:rPr>
      </w:pPr>
      <w:r>
        <w:rPr>
          <w:rFonts w:ascii="Times New Roman" w:hAnsi="Times New Roman"/>
          <w:color w:val="000000"/>
          <w:sz w:val="24"/>
        </w:rPr>
        <w:t>(c) upon the voluntary or involuntary liquidation, dissolution or winding up of the Corporation, the net assets of the Corporation shall be distributed pro rata to the holders of the Common Stock.</w:t>
      </w:r>
    </w:p>
    <w:p>
      <w:pPr>
        <w:pStyle w:val="TextBody"/>
        <w:bidi w:val="0"/>
        <w:ind w:left="0" w:right="0" w:firstLine="1440"/>
        <w:jc w:val="left"/>
        <w:rPr/>
      </w:pPr>
      <w:r>
        <w:rPr/>
        <w:t> </w:t>
      </w:r>
    </w:p>
    <w:p>
      <w:pPr>
        <w:pStyle w:val="TextBody"/>
        <w:bidi w:val="0"/>
        <w:jc w:val="center"/>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UNDESIGNATED PREFERRED STOCK</w:t>
      </w:r>
    </w:p>
    <w:p>
      <w:pPr>
        <w:pStyle w:val="TextBody"/>
        <w:bidi w:val="0"/>
        <w:jc w:val="left"/>
        <w:rPr/>
      </w:pPr>
      <w:r>
        <w:rPr/>
        <w:t> </w:t>
      </w:r>
    </w:p>
    <w:p>
      <w:pPr>
        <w:pStyle w:val="TextBody"/>
        <w:bidi w:val="0"/>
        <w:ind w:left="0" w:right="0" w:firstLine="1440"/>
        <w:jc w:val="left"/>
        <w:rPr>
          <w:rFonts w:ascii="Times New Roman" w:hAnsi="Times New Roman"/>
          <w:sz w:val="20"/>
        </w:rPr>
      </w:pPr>
      <w:r>
        <w:rPr>
          <w:rFonts w:ascii="Times New Roman" w:hAnsi="Times New Roman"/>
          <w:color w:val="000000"/>
          <w:sz w:val="24"/>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r>
        <w:rPr>
          <w:rFonts w:ascii="Times New Roman" w:hAnsi="Times New Roman"/>
          <w:color w:val="000000"/>
          <w:sz w:val="20"/>
        </w:rPr>
        <w:t xml:space="preserve">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STOCKHOLDER ACTION</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Action without Meeting</w:t>
      </w:r>
      <w:r>
        <w:rPr>
          <w:rFonts w:ascii="Times New Roman" w:hAnsi="Times New Roman"/>
          <w:color w:val="000000"/>
          <w:sz w:val="24"/>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Special Meetings</w:t>
      </w:r>
      <w:r>
        <w:rPr>
          <w:rFonts w:ascii="Times New Roman" w:hAnsi="Times New Roman"/>
          <w:color w:val="000000"/>
          <w:sz w:val="24"/>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ind w:left="0" w:right="0" w:firstLine="72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VI</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DIRECTORS</w:t>
      </w:r>
    </w:p>
    <w:p>
      <w:pPr>
        <w:pStyle w:val="TextBody"/>
        <w:bidi w:val="0"/>
        <w:jc w:val="left"/>
        <w:rPr/>
      </w:pPr>
      <w:r>
        <w:rPr/>
        <w:t> </w:t>
      </w:r>
    </w:p>
    <w:p>
      <w:pPr>
        <w:pStyle w:val="TextBody"/>
        <w:bidi w:val="0"/>
        <w:spacing w:before="120" w:after="120"/>
        <w:ind w:left="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120"/>
        <w:jc w:val="left"/>
        <w:rPr/>
      </w:pPr>
      <w:r>
        <w:rPr>
          <w:rFonts w:ascii="Times New Roman" w:hAnsi="Times New Roman"/>
          <w:color w:val="000000"/>
          <w:sz w:val="24"/>
          <w:u w:val="single"/>
        </w:rPr>
        <w:t>General</w:t>
      </w:r>
      <w:r>
        <w:rPr>
          <w:rFonts w:ascii="Times New Roman" w:hAnsi="Times New Roman"/>
          <w:color w:val="000000"/>
          <w:sz w:val="24"/>
        </w:rPr>
        <w:t>. The business and affairs of the Corporation shall be managed by or under the direction of the Board of Directors except as otherwise provided herein or required by law.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120"/>
        <w:jc w:val="left"/>
        <w:rPr/>
      </w:pPr>
      <w:r>
        <w:rPr>
          <w:rFonts w:ascii="Times New Roman" w:hAnsi="Times New Roman"/>
          <w:color w:val="000000"/>
          <w:sz w:val="24"/>
          <w:u w:val="single"/>
        </w:rPr>
        <w:t>Election of Directors</w:t>
      </w:r>
      <w:r>
        <w:rPr>
          <w:rFonts w:ascii="Times New Roman" w:hAnsi="Times New Roman"/>
          <w:color w:val="000000"/>
          <w:sz w:val="24"/>
        </w:rPr>
        <w:t>. Election of Directors need not be by written ballot unless the By</w:t>
        <w:noBreakHyphen/>
        <w:t>laws of the Corporation (the “By-laws”) shall so provide.</w:t>
      </w:r>
    </w:p>
    <w:p>
      <w:pPr>
        <w:pStyle w:val="TextBody"/>
        <w:bidi w:val="0"/>
        <w:jc w:val="left"/>
        <w:rPr/>
      </w:pPr>
      <w:r>
        <w:rPr/>
        <w:t> </w:t>
      </w:r>
    </w:p>
    <w:p>
      <w:pPr>
        <w:pStyle w:val="TextBody"/>
        <w:bidi w:val="0"/>
        <w:spacing w:before="120" w:after="120"/>
        <w:ind w:left="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120"/>
        <w:jc w:val="left"/>
        <w:rPr/>
      </w:pPr>
      <w:r>
        <w:rPr>
          <w:rFonts w:ascii="Times New Roman" w:hAnsi="Times New Roman"/>
          <w:color w:val="000000"/>
          <w:sz w:val="24"/>
          <w:u w:val="single"/>
        </w:rPr>
        <w:t>Number of Directors; Term of Office</w:t>
      </w:r>
      <w:r>
        <w:rPr>
          <w:rFonts w:ascii="Times New Roman" w:hAnsi="Times New Roman"/>
          <w:color w:val="000000"/>
          <w:sz w:val="24"/>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Class I Directors of the Corporation shall be Giovanni Mariggi, Ph.D. Raj Parekh, Ph.D. and Elisabet de los Pinos, Ph.D.; the Class II Directors of the Corporation shall be David Johnson and Karan Takhar; and the Class III Directors of the Corporation shall be Sapna Srivastava and Antony Mattessich. The Class I Directors shall serve for a term expiring at the annual meeting of stockholders to be held in 2022, the Class II Directors shall serve for a term expiring at the annual meeting of stockholders to be held in 2023, and the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4"/>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ind w:left="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120" w:after="120"/>
        <w:jc w:val="left"/>
        <w:rPr/>
      </w:pPr>
      <w:r>
        <w:rPr>
          <w:rFonts w:ascii="Times New Roman" w:hAnsi="Times New Roman"/>
          <w:color w:val="000000"/>
          <w:sz w:val="24"/>
          <w:u w:val="single"/>
        </w:rPr>
        <w:t>Vacancies</w:t>
      </w:r>
      <w:r>
        <w:rPr>
          <w:rFonts w:ascii="Times New Roman" w:hAnsi="Times New Roman"/>
          <w:color w:val="000000"/>
          <w:sz w:val="24"/>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pPr>
      <w:r>
        <w:rPr>
          <w:rFonts w:ascii="Times New Roman" w:hAnsi="Times New Roman"/>
          <w:color w:val="000000"/>
          <w:sz w:val="24"/>
        </w:rPr>
        <w:t xml:space="preserve">decreased, the Board of Directors shall, subject to Article VI.3 hereof, determine the class or classes to which the increased or decreased number of Directors shall be apportioned;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pStyle w:val="TextBody"/>
        <w:bidi w:val="0"/>
        <w:jc w:val="left"/>
        <w:rPr/>
      </w:pPr>
      <w:r>
        <w:rPr/>
        <w:t> </w:t>
      </w:r>
    </w:p>
    <w:p>
      <w:pPr>
        <w:pStyle w:val="TextBody"/>
        <w:bidi w:val="0"/>
        <w:spacing w:before="120" w:after="120"/>
        <w:ind w:left="0" w:right="0" w:firstLine="720"/>
        <w:jc w:val="left"/>
        <w:rPr>
          <w:rFonts w:ascii="Times New Roman" w:hAnsi="Times New Roman"/>
          <w:color w:val="000000"/>
          <w:sz w:val="24"/>
        </w:rPr>
      </w:pPr>
      <w:r>
        <w:rPr>
          <w:rFonts w:ascii="Times New Roman" w:hAnsi="Times New Roman"/>
          <w:color w:val="000000"/>
          <w:sz w:val="24"/>
        </w:rPr>
        <w:t>5.</w:t>
      </w:r>
    </w:p>
    <w:p>
      <w:pPr>
        <w:pStyle w:val="TextBody"/>
        <w:bidi w:val="0"/>
        <w:spacing w:before="120" w:after="120"/>
        <w:jc w:val="left"/>
        <w:rPr/>
      </w:pPr>
      <w:r>
        <w:rPr>
          <w:rFonts w:ascii="Times New Roman" w:hAnsi="Times New Roman"/>
          <w:color w:val="000000"/>
          <w:sz w:val="24"/>
          <w:u w:val="single"/>
        </w:rPr>
        <w:t>Removal</w:t>
      </w:r>
      <w:r>
        <w:rPr>
          <w:rFonts w:ascii="Times New Roman" w:hAnsi="Times New Roman"/>
          <w:color w:val="000000"/>
          <w:sz w:val="24"/>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pStyle w:val="TextBody"/>
        <w:bidi w:val="0"/>
        <w:spacing w:before="120" w:after="240"/>
        <w:jc w:val="center"/>
        <w:rPr>
          <w:rFonts w:ascii="Times New Roman" w:hAnsi="Times New Roman"/>
          <w:color w:val="000000"/>
          <w:sz w:val="24"/>
        </w:rPr>
      </w:pPr>
      <w:r>
        <w:rPr>
          <w:rFonts w:ascii="Times New Roman" w:hAnsi="Times New Roman"/>
          <w:color w:val="000000"/>
          <w:sz w:val="24"/>
        </w:rPr>
        <w:t>ARTICLE VII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LIMITATION OF LIABILITY</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4"/>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color w:val="000000"/>
          <w:sz w:val="24"/>
        </w:rPr>
      </w:pPr>
      <w:r>
        <w:rPr>
          <w:rFonts w:ascii="Times New Roman" w:hAnsi="Times New Roman"/>
          <w:color w:val="000000"/>
          <w:sz w:val="24"/>
        </w:rPr>
        <w:t>ARTICLE VIII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AMENDMENT OF BY-LAWS</w:t>
      </w:r>
    </w:p>
    <w:p>
      <w:pPr>
        <w:pStyle w:val="TextBody"/>
        <w:bidi w:val="0"/>
        <w:spacing w:before="0" w:after="120"/>
        <w:ind w:left="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120"/>
        <w:jc w:val="left"/>
        <w:rPr/>
      </w:pPr>
      <w:r>
        <w:rPr>
          <w:rFonts w:ascii="Times New Roman" w:hAnsi="Times New Roman"/>
          <w:color w:val="000000"/>
          <w:sz w:val="24"/>
          <w:u w:val="single"/>
        </w:rPr>
        <w:t>Amendment by Directors</w:t>
      </w:r>
      <w:r>
        <w:rPr>
          <w:rFonts w:ascii="Times New Roman" w:hAnsi="Times New Roman"/>
          <w:color w:val="000000"/>
          <w:sz w:val="24"/>
        </w:rPr>
        <w:t>. Except as otherwise provided by law, the By</w:t>
        <w:noBreakHyphen/>
        <w:t>laws of the Corporation may be amended or repealed by the Board of Directors by the affirmative vote of a majority of the Directors then in office.</w:t>
      </w:r>
    </w:p>
    <w:p>
      <w:pPr>
        <w:pStyle w:val="TextBody"/>
        <w:bidi w:val="0"/>
        <w:jc w:val="left"/>
        <w:rPr/>
      </w:pPr>
      <w:r>
        <w:rPr/>
        <w:t> </w:t>
      </w:r>
    </w:p>
    <w:p>
      <w:pPr>
        <w:pStyle w:val="TextBody"/>
        <w:bidi w:val="0"/>
        <w:spacing w:before="120" w:after="120"/>
        <w:ind w:left="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120"/>
        <w:jc w:val="left"/>
        <w:rPr/>
      </w:pPr>
      <w:r>
        <w:rPr>
          <w:rFonts w:ascii="Times New Roman" w:hAnsi="Times New Roman"/>
          <w:color w:val="000000"/>
          <w:sz w:val="24"/>
          <w:u w:val="single"/>
        </w:rPr>
        <w:t>Amendment by Stockholders</w:t>
      </w:r>
      <w:r>
        <w:rPr>
          <w:rFonts w:ascii="Times New Roman" w:hAnsi="Times New Roman"/>
          <w:color w:val="000000"/>
          <w:sz w:val="24"/>
        </w:rPr>
        <w:t>. Except as otherwise provided therein, the By</w:t>
        <w:noBreakHyphen/>
        <w:t>laws of the Corporation may be amended or repealed at any annual meeting of stockholders, or special meeting of stockholders called for such purpose, by the affirmative vote of at least not less than two-thirds (2/3) of the outstanding shares of capital stock entitled to vote on such amendment or repeal, voting together as a single class.</w:t>
      </w:r>
    </w:p>
    <w:p>
      <w:pPr>
        <w:pStyle w:val="TextBody"/>
        <w:bidi w:val="0"/>
        <w:spacing w:before="120" w:after="240"/>
        <w:jc w:val="center"/>
        <w:rPr>
          <w:rFonts w:ascii="Times New Roman" w:hAnsi="Times New Roman"/>
          <w:color w:val="000000"/>
          <w:sz w:val="24"/>
        </w:rPr>
      </w:pPr>
      <w:r>
        <w:rPr>
          <w:rFonts w:ascii="Times New Roman" w:hAnsi="Times New Roman"/>
          <w:color w:val="000000"/>
          <w:sz w:val="24"/>
        </w:rPr>
        <w:t>ARTICLE IX</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AMENDMENT OF CERTIFICATE OF INCORPORATION</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THIS TENTH AMENDED AND RESTATED CERTIFICATE OF INCORPORATION is executed as of this 2nd day of November, 2021.</w:t>
      </w:r>
    </w:p>
    <w:p>
      <w:pPr>
        <w:pStyle w:val="TextBody"/>
        <w:bidi w:val="0"/>
        <w:jc w:val="left"/>
        <w:rPr/>
      </w:pPr>
      <w:r>
        <w:rPr/>
        <w:t> </w:t>
      </w:r>
    </w:p>
    <w:p>
      <w:pPr>
        <w:pStyle w:val="TextBody"/>
        <w:bidi w:val="0"/>
        <w:jc w:val="left"/>
        <w:rPr/>
      </w:pPr>
      <w:r>
        <w:rPr/>
        <w:t> </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AURA BIOSCIENCES, INC.</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 Elisabet de los Pinos </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Name: Elisabet de los Pinos</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Title: Chief Executive Officer and President</w:t>
      </w:r>
    </w:p>
    <w:p>
      <w:pPr>
        <w:pStyle w:val="TextBody"/>
        <w:bidi w:val="0"/>
        <w:ind w:left="5040" w:right="0" w:hanging="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CERTIFICATE OF AMENDMENT</w:t>
      </w:r>
    </w:p>
    <w:p>
      <w:pPr>
        <w:pStyle w:val="TextBody"/>
        <w:bidi w:val="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TENTH AMENDED AND RESTATED CERTIFICATE OF INCORPORATION</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AURA BIOSCIENCES, INC.</w:t>
      </w:r>
    </w:p>
    <w:p>
      <w:pPr>
        <w:pStyle w:val="TextBody"/>
        <w:bidi w:val="0"/>
        <w:jc w:val="center"/>
        <w:rPr>
          <w:rFonts w:ascii="Times New Roman" w:hAnsi="Times New Roman"/>
          <w:color w:val="000000"/>
          <w:sz w:val="24"/>
        </w:rPr>
      </w:pPr>
      <w:r>
        <w:rPr>
          <w:rFonts w:ascii="Times New Roman" w:hAnsi="Times New Roman"/>
          <w:color w:val="000000"/>
          <w:sz w:val="24"/>
        </w:rPr>
        <w:t>(Pursuant to Section 242 of the</w:t>
      </w:r>
    </w:p>
    <w:p>
      <w:pPr>
        <w:pStyle w:val="TextBody"/>
        <w:bidi w:val="0"/>
        <w:spacing w:before="0" w:after="200"/>
        <w:jc w:val="center"/>
        <w:rPr>
          <w:rFonts w:ascii="Times New Roman" w:hAnsi="Times New Roman"/>
          <w:color w:val="000000"/>
          <w:sz w:val="24"/>
        </w:rPr>
      </w:pPr>
      <w:r>
        <w:rPr>
          <w:rFonts w:ascii="Times New Roman" w:hAnsi="Times New Roman"/>
          <w:color w:val="000000"/>
          <w:sz w:val="24"/>
        </w:rPr>
        <w:t>General Corporation Law of the State of Delaware)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4"/>
        </w:rPr>
        <w:t>Aura Biosciences, Inc., a corporation organized and existing under the laws of the State of Delaware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hereby certifies as follows: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The Corporation was originally incorporated pursuant to the General Corporation Law of the State of Delaware (the “</w:t>
      </w:r>
      <w:r>
        <w:rPr>
          <w:rFonts w:ascii="Times New Roman" w:hAnsi="Times New Roman"/>
          <w:color w:val="000000"/>
          <w:sz w:val="24"/>
          <w:u w:val="single"/>
        </w:rPr>
        <w:t>DGCL</w:t>
      </w:r>
      <w:r>
        <w:rPr>
          <w:color w:val="000000"/>
        </w:rPr>
        <w:t>”</w:t>
      </w:r>
      <w:r>
        <w:rPr>
          <w:rFonts w:ascii="Times New Roman" w:hAnsi="Times New Roman"/>
          <w:color w:val="000000"/>
          <w:sz w:val="24"/>
        </w:rPr>
        <w:t>) on January 13, 2009. A Tenth Amended and Restated Certificate of Incorporation was filed with the Secretary of State of the State of Delaware on November 2, 2021 (the “</w:t>
      </w:r>
      <w:r>
        <w:rPr>
          <w:rFonts w:ascii="Times New Roman" w:hAnsi="Times New Roman"/>
          <w:color w:val="000000"/>
          <w:sz w:val="24"/>
          <w:u w:val="single"/>
        </w:rPr>
        <w:t>Charter</w:t>
      </w:r>
      <w:r>
        <w:rPr>
          <w:color w:val="000000"/>
        </w:rPr>
        <w:t>”</w:t>
      </w:r>
      <w:r>
        <w:rPr>
          <w:rFonts w:ascii="Times New Roman" w:hAnsi="Times New Roman"/>
          <w:color w:val="000000"/>
          <w:sz w:val="24"/>
        </w:rPr>
        <w:t>). Pursuant to Section 242 of the DGCL, this Certificate of Amendment (this “</w:t>
      </w:r>
      <w:r>
        <w:rPr>
          <w:rFonts w:ascii="Times New Roman" w:hAnsi="Times New Roman"/>
          <w:color w:val="000000"/>
          <w:sz w:val="24"/>
          <w:u w:val="single"/>
        </w:rPr>
        <w:t>Amendment</w:t>
      </w:r>
      <w:r>
        <w:rPr>
          <w:color w:val="000000"/>
        </w:rPr>
        <w:t>”</w:t>
      </w:r>
      <w:r>
        <w:rPr>
          <w:rFonts w:ascii="Times New Roman" w:hAnsi="Times New Roman"/>
          <w:color w:val="000000"/>
          <w:sz w:val="24"/>
        </w:rPr>
        <w:t>) amends certain provisions of the Charter.</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has been approved and duly adopted by the Corporation’s Board of Directors and stockholders in accordance with the provisions of Section 242 of the DGCL.</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Charter is hereby amended by adding a new Article X to read in its entirety as follows:</w:t>
      </w:r>
    </w:p>
    <w:p>
      <w:pPr>
        <w:pStyle w:val="TextBody"/>
        <w:bidi w:val="0"/>
        <w:spacing w:before="0" w:after="240"/>
        <w:jc w:val="center"/>
        <w:rPr>
          <w:color w:val="000000"/>
        </w:rPr>
      </w:pPr>
      <w:r>
        <w:rPr>
          <w:color w:val="000000"/>
        </w:rPr>
        <w:t>“</w:t>
      </w:r>
      <w:r>
        <w:rPr>
          <w:rFonts w:ascii="Times New Roman" w:hAnsi="Times New Roman"/>
          <w:color w:val="000000"/>
          <w:sz w:val="24"/>
        </w:rPr>
        <w:t>ARTICLE X.</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LIMITATION OF OFFICER LIABILITY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Any amendment, repeal or modification of this Article X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left"/>
        <w:rPr>
          <w:rFonts w:ascii="Times New Roman" w:hAnsi="Times New Roman"/>
          <w:sz w:val="20"/>
        </w:rPr>
      </w:pPr>
      <w:r>
        <w:rPr>
          <w:rFonts w:ascii="Times New Roman" w:hAnsi="Times New Roman"/>
          <w:color w:val="000000"/>
          <w:sz w:val="24"/>
        </w:rPr>
        <w:t>IN WITNESS WHEREOF, this Amendment, having been duly adopted in accordance with Section 242 of the DGCL, has been duly executed by a duly authorized officer of the Corporation on this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June, 2024.</w:t>
      </w:r>
    </w:p>
    <w:p>
      <w:pPr>
        <w:pStyle w:val="TextBody"/>
        <w:bidi w:val="0"/>
        <w:spacing w:before="0" w:after="200"/>
        <w:jc w:val="left"/>
        <w:rPr/>
      </w:pPr>
      <w:r>
        <w:rPr/>
        <w:t> </w:t>
      </w:r>
    </w:p>
    <w:p>
      <w:pPr>
        <w:pStyle w:val="TextBody"/>
        <w:bidi w:val="0"/>
        <w:spacing w:before="0" w:after="200"/>
        <w:ind w:left="4680" w:right="0" w:hanging="0"/>
        <w:jc w:val="left"/>
        <w:rPr>
          <w:rFonts w:ascii="Times New Roman" w:hAnsi="Times New Roman"/>
          <w:color w:val="000000"/>
          <w:sz w:val="24"/>
        </w:rPr>
      </w:pPr>
      <w:r>
        <w:rPr>
          <w:rFonts w:ascii="Times New Roman" w:hAnsi="Times New Roman"/>
          <w:color w:val="000000"/>
          <w:sz w:val="24"/>
        </w:rPr>
        <w:t>AURA BIOSCIENCES, INC.</w:t>
      </w:r>
    </w:p>
    <w:p>
      <w:pPr>
        <w:pStyle w:val="TextBody"/>
        <w:bidi w:val="0"/>
        <w:spacing w:before="0" w:after="200"/>
        <w:ind w:left="4680" w:right="0" w:hanging="0"/>
        <w:jc w:val="left"/>
        <w:rPr/>
      </w:pPr>
      <w:r>
        <w:rPr/>
        <w:t> </w:t>
      </w:r>
    </w:p>
    <w:p>
      <w:pPr>
        <w:pStyle w:val="TextBody"/>
        <w:bidi w:val="0"/>
        <w:ind w:left="468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Elisabet de los Pinos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Elisabet de los Pinos, Ph.D.</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spacing w:before="0" w:after="200"/>
        <w:ind w:left="5040" w:right="0" w:hanging="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CERTIFICATE OF AMENDMENT</w:t>
      </w:r>
    </w:p>
    <w:p>
      <w:pPr>
        <w:pStyle w:val="TextBody"/>
        <w:bidi w:val="0"/>
        <w:jc w:val="center"/>
        <w:rPr>
          <w:rFonts w:ascii="Times New Roman" w:hAnsi="Times New Roman"/>
          <w:b/>
          <w:color w:val="000000"/>
          <w:sz w:val="24"/>
        </w:rPr>
      </w:pPr>
      <w:r>
        <w:rPr>
          <w:rFonts w:ascii="Times New Roman" w:hAnsi="Times New Roman"/>
          <w:b/>
          <w:color w:val="000000"/>
          <w:sz w:val="24"/>
        </w:rPr>
        <w:t>TO THE</w:t>
      </w:r>
    </w:p>
    <w:p>
      <w:pPr>
        <w:pStyle w:val="TextBody"/>
        <w:bidi w:val="0"/>
        <w:jc w:val="center"/>
        <w:rPr>
          <w:rFonts w:ascii="Times New Roman" w:hAnsi="Times New Roman"/>
          <w:b/>
          <w:color w:val="000000"/>
          <w:sz w:val="24"/>
        </w:rPr>
      </w:pPr>
      <w:r>
        <w:rPr>
          <w:rFonts w:ascii="Times New Roman" w:hAnsi="Times New Roman"/>
          <w:b/>
          <w:color w:val="000000"/>
          <w:sz w:val="24"/>
        </w:rPr>
        <w:t>TENTH AMENDED AND RESTATED CERTIFICATE OF INCORPORATION</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AURA BIOSCIENCES, INC.</w:t>
      </w:r>
    </w:p>
    <w:p>
      <w:pPr>
        <w:pStyle w:val="TextBody"/>
        <w:bidi w:val="0"/>
        <w:jc w:val="center"/>
        <w:rPr>
          <w:rFonts w:ascii="Times New Roman" w:hAnsi="Times New Roman"/>
          <w:color w:val="000000"/>
          <w:sz w:val="24"/>
        </w:rPr>
      </w:pPr>
      <w:r>
        <w:rPr>
          <w:rFonts w:ascii="Times New Roman" w:hAnsi="Times New Roman"/>
          <w:color w:val="000000"/>
          <w:sz w:val="24"/>
        </w:rPr>
        <w:t>(Pursuant to Section 242 of the</w:t>
      </w:r>
    </w:p>
    <w:p>
      <w:pPr>
        <w:pStyle w:val="TextBody"/>
        <w:bidi w:val="0"/>
        <w:spacing w:before="0" w:after="200"/>
        <w:jc w:val="center"/>
        <w:rPr>
          <w:rFonts w:ascii="Times New Roman" w:hAnsi="Times New Roman"/>
          <w:color w:val="000000"/>
          <w:sz w:val="24"/>
        </w:rPr>
      </w:pPr>
      <w:r>
        <w:rPr>
          <w:rFonts w:ascii="Times New Roman" w:hAnsi="Times New Roman"/>
          <w:color w:val="000000"/>
          <w:sz w:val="24"/>
        </w:rPr>
        <w:t>General Corporation Law of the State of Delaware)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4"/>
        </w:rPr>
        <w:t>Aura Biosciences, Inc., a corporation organized and existing under the laws of the State of Delaware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hereby certifies as follows:</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ARTICLE X</w:t>
      </w:r>
    </w:p>
    <w:p>
      <w:pPr>
        <w:pStyle w:val="TextBody"/>
        <w:bidi w:val="0"/>
        <w:spacing w:before="0" w:after="240"/>
        <w:jc w:val="both"/>
        <w:rPr/>
      </w:pPr>
      <w:r>
        <w:rPr>
          <w:rFonts w:ascii="Times New Roman" w:hAnsi="Times New Roman"/>
          <w:color w:val="000000"/>
          <w:sz w:val="24"/>
        </w:rPr>
        <w:t>The Corporation was originally incorporated pursuant to the General Corporation Law of the State of Delaware (the “</w:t>
      </w:r>
      <w:r>
        <w:rPr>
          <w:rFonts w:ascii="Times New Roman" w:hAnsi="Times New Roman"/>
          <w:color w:val="000000"/>
          <w:sz w:val="24"/>
          <w:u w:val="single"/>
        </w:rPr>
        <w:t>DGCL</w:t>
      </w:r>
      <w:r>
        <w:rPr>
          <w:color w:val="000000"/>
        </w:rPr>
        <w:t>”</w:t>
      </w:r>
      <w:r>
        <w:rPr>
          <w:rFonts w:ascii="Times New Roman" w:hAnsi="Times New Roman"/>
          <w:color w:val="000000"/>
          <w:sz w:val="24"/>
        </w:rPr>
        <w:t>) on January 13, 2009. A Tenth Amended and Restated Certificate of Incorporation was filed with the Secretary of State of the State of Delaware on November 2, 2021 and amended on June 20, 2024 (as amended, the “</w:t>
      </w:r>
      <w:r>
        <w:rPr>
          <w:rFonts w:ascii="Times New Roman" w:hAnsi="Times New Roman"/>
          <w:color w:val="000000"/>
          <w:sz w:val="24"/>
          <w:u w:val="single"/>
        </w:rPr>
        <w:t>Charter</w:t>
      </w:r>
      <w:r>
        <w:rPr>
          <w:color w:val="000000"/>
        </w:rPr>
        <w:t>”</w:t>
      </w:r>
      <w:r>
        <w:rPr>
          <w:rFonts w:ascii="Times New Roman" w:hAnsi="Times New Roman"/>
          <w:color w:val="000000"/>
          <w:sz w:val="24"/>
        </w:rPr>
        <w:t>). Pursuant to Section 242 of the DGCL, this Certificate of Amendment (this “</w:t>
      </w:r>
      <w:r>
        <w:rPr>
          <w:rFonts w:ascii="Times New Roman" w:hAnsi="Times New Roman"/>
          <w:color w:val="000000"/>
          <w:sz w:val="24"/>
          <w:u w:val="single"/>
        </w:rPr>
        <w:t>Amendment</w:t>
      </w:r>
      <w:r>
        <w:rPr>
          <w:color w:val="000000"/>
        </w:rPr>
        <w:t>”</w:t>
      </w:r>
      <w:r>
        <w:rPr>
          <w:rFonts w:ascii="Times New Roman" w:hAnsi="Times New Roman"/>
          <w:color w:val="000000"/>
          <w:sz w:val="24"/>
        </w:rPr>
        <w:t>) amends certain provisions of the Charter.</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ARTICLE 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has been approved and duly adopted by the Corporation’s Board of Directors and stockholders in accordance with the provisions of Section 242 of the DGCL.</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ARTICLE 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Charter is hereby amended by replacing the first paragraph of Article IV in its entirety as follows:</w:t>
      </w:r>
    </w:p>
    <w:p>
      <w:pPr>
        <w:pStyle w:val="TextBody"/>
        <w:bidi w:val="0"/>
        <w:ind w:left="720" w:right="0" w:hanging="0"/>
        <w:jc w:val="left"/>
        <w:rPr>
          <w:color w:val="000000"/>
        </w:rPr>
      </w:pPr>
      <w:r>
        <w:rPr>
          <w:color w:val="000000"/>
        </w:rPr>
        <w:t>“</w:t>
      </w:r>
      <w:r>
        <w:rPr>
          <w:rFonts w:ascii="Times New Roman" w:hAnsi="Times New Roman"/>
          <w:color w:val="000000"/>
          <w:sz w:val="24"/>
        </w:rPr>
        <w:t>The total number of shares of capital stock which the Corporation shall have authority to issue is five hundred ten million (510,000,000), of which (i) five hundred million (500,000,000) shares shall be a class designated as common stock, par value $0.00001 per share (the “Common Stock”), and (ii) ten million (10,000,000) shares shall be a class designated as undesignated preferred stock, par value $0.00001 per share (the “Undesignated Preferred Stock”).”</w:t>
      </w:r>
    </w:p>
    <w:p>
      <w:pPr>
        <w:pStyle w:val="TextBody"/>
        <w:bidi w:val="0"/>
        <w:spacing w:before="0" w:after="200"/>
        <w:ind w:left="0" w:right="0" w:firstLine="720"/>
        <w:jc w:val="left"/>
        <w:rPr>
          <w:rFonts w:ascii="Times New Roman" w:hAnsi="Times New Roman"/>
          <w:sz w:val="20"/>
        </w:rPr>
      </w:pPr>
      <w:r>
        <w:rPr>
          <w:rFonts w:ascii="Times New Roman" w:hAnsi="Times New Roman"/>
          <w:color w:val="000000"/>
          <w:sz w:val="24"/>
        </w:rPr>
        <w:t>IN WITNESS WHEREOF, this Amendment, having been duly adopted in accordance with Section 242 of the DGCL, has been duly executed by a duly authorized officer of the Corporation on this 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August, 2026.</w:t>
      </w:r>
    </w:p>
    <w:p>
      <w:pPr>
        <w:pStyle w:val="TextBody"/>
        <w:bidi w:val="0"/>
        <w:spacing w:before="0" w:after="200"/>
        <w:jc w:val="left"/>
        <w:rPr/>
      </w:pPr>
      <w:r>
        <w:rPr/>
        <w:t> </w:t>
      </w:r>
    </w:p>
    <w:p>
      <w:pPr>
        <w:pStyle w:val="TextBody"/>
        <w:bidi w:val="0"/>
        <w:spacing w:before="0" w:after="200"/>
        <w:ind w:left="4680" w:right="0" w:hanging="0"/>
        <w:jc w:val="left"/>
        <w:rPr>
          <w:rFonts w:ascii="Times New Roman" w:hAnsi="Times New Roman"/>
          <w:color w:val="000000"/>
          <w:sz w:val="24"/>
        </w:rPr>
      </w:pPr>
      <w:r>
        <w:rPr>
          <w:rFonts w:ascii="Times New Roman" w:hAnsi="Times New Roman"/>
          <w:color w:val="000000"/>
          <w:sz w:val="24"/>
        </w:rPr>
        <w:t>AURA BIOSCIENCES, INC.</w:t>
      </w:r>
    </w:p>
    <w:p>
      <w:pPr>
        <w:pStyle w:val="TextBody"/>
        <w:bidi w:val="0"/>
        <w:spacing w:before="0" w:after="200"/>
        <w:ind w:left="4680" w:right="0" w:hanging="0"/>
        <w:jc w:val="left"/>
        <w:rPr/>
      </w:pPr>
      <w:r>
        <w:rPr/>
        <w:t> </w:t>
      </w:r>
    </w:p>
    <w:p>
      <w:pPr>
        <w:pStyle w:val="TextBody"/>
        <w:bidi w:val="0"/>
        <w:ind w:left="468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Natalie Holles </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Name: Natalie Holles</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Chief Executive Officer and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4" w:name="aura-ex10_1.htm"/>
      <w:bookmarkStart w:id="25" w:name="ksauraex10_1"/>
      <w:bookmarkEnd w:id="24"/>
      <w:bookmarkEnd w:id="25"/>
      <w:r>
        <w:rPr>
          <w:rFonts w:ascii="Times New Roman" w:hAnsi="Times New Roman"/>
          <w:b/>
          <w:color w:val="000000"/>
          <w:sz w:val="22"/>
        </w:rPr>
        <w:t>Exhibit 10.1</w:t>
      </w:r>
      <w:r>
        <w:br w:type="page"/>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April 29, 2026</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Natalie Holles</w:t>
        <w:br/>
        <w:t>Email: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 Offer of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Dear Natalie,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Following up on our discussions, the following represents our offer regarding your employment by Aura Biosciences, Inc. (the “Company”) as a full-time, “at will” employee. This letter agreement is referred to herein as this “Agreement”. This offer and the terms of your employment with the Company (including compensation, benefits and equity awards) are subject to and conditioned upon the approval of the Company’s Board of Directors (the “Board”) in all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Your title and position will be Chief Executive Officer and President and will report to the Board. Subject to the approval of the Board, you will also serve as a director of the Company. As a full-time employee of the Company, you will be expected to devote your full-time business time and energies to the business and affairs of the Company, provided that you may engage in civic and charitable activities and serve as a director on the boards of directors of up to two companies (in addition to the Company), provided such activities do not, individually or collectively, interfere with the performance of your duties hereunder or otherwise conflict with or violate the terms of this Agreement, any other agreement between you and the Company or the Company’s Code of Business Conduct and Ethics as determined by the Board.</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1.</w:t>
      </w:r>
    </w:p>
    <w:p>
      <w:pPr>
        <w:pStyle w:val="TextBody"/>
        <w:bidi w:val="0"/>
        <w:spacing w:before="0" w:after="240"/>
        <w:jc w:val="both"/>
        <w:rPr/>
      </w:pPr>
      <w:r>
        <w:rPr>
          <w:rFonts w:ascii="Times New Roman" w:hAnsi="Times New Roman"/>
          <w:b/>
          <w:color w:val="000000"/>
          <w:sz w:val="22"/>
        </w:rPr>
        <w:t xml:space="preserve">Salary and Expenses: </w:t>
      </w:r>
      <w:r>
        <w:rPr>
          <w:rFonts w:ascii="Times New Roman" w:hAnsi="Times New Roman"/>
          <w:color w:val="000000"/>
          <w:sz w:val="22"/>
        </w:rPr>
        <w:t>Your compensation will be a starting salary of seven hundred thousand ($700,000) Dollars per annum subject to any Company discretionary increase (the “Base Salary”), which will be paid semimonthly or in accordance with the Company’s normal payroll practices in effect from time to time. In accordance with Company policies and procedures, you will be reimbursed for all reasonable out-of-pocket expenses incurred by you on behalf of the Company, in accordance with Company policy.</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2.</w:t>
      </w:r>
    </w:p>
    <w:p>
      <w:pPr>
        <w:pStyle w:val="TextBody"/>
        <w:bidi w:val="0"/>
        <w:spacing w:before="0" w:after="240"/>
        <w:jc w:val="both"/>
        <w:rPr/>
      </w:pPr>
      <w:r>
        <w:rPr>
          <w:rFonts w:ascii="Times New Roman" w:hAnsi="Times New Roman"/>
          <w:b/>
          <w:color w:val="000000"/>
          <w:sz w:val="22"/>
        </w:rPr>
        <w:t xml:space="preserve">Bonus: </w:t>
      </w:r>
      <w:r>
        <w:rPr>
          <w:rFonts w:ascii="Times New Roman" w:hAnsi="Times New Roman"/>
          <w:color w:val="000000"/>
          <w:sz w:val="22"/>
        </w:rPr>
        <w:t>You will be eligible to receive an annual bonus targeted at fifty-five percent (55%) of your Base Salary based on the performance of the Company and consistent with the terms of the Company’s Senior Executive Cash Incentive Bonus Plan (the “Bonus”). The amount of the Bonus, if any, will be at the sole discretion of the Board. You must be employed on the date that the Bonus is paid to be eligible to receive the Bonus. Your Bonus will be paid no later than March 15 of the following calendar year. For 2026, your bonus will be prorated based on your Start Date (as defined below), as calculated by the Company.</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3.</w:t>
      </w:r>
    </w:p>
    <w:p>
      <w:pPr>
        <w:pStyle w:val="TextBody"/>
        <w:bidi w:val="0"/>
        <w:spacing w:before="0" w:after="240"/>
        <w:jc w:val="both"/>
        <w:rPr/>
      </w:pPr>
      <w:r>
        <w:rPr>
          <w:rFonts w:ascii="Times New Roman" w:hAnsi="Times New Roman"/>
          <w:b/>
          <w:color w:val="000000"/>
          <w:sz w:val="22"/>
        </w:rPr>
        <w:t xml:space="preserve">Equity: </w:t>
      </w:r>
      <w:r>
        <w:rPr>
          <w:rFonts w:ascii="Times New Roman" w:hAnsi="Times New Roman"/>
          <w:color w:val="000000"/>
          <w:sz w:val="22"/>
        </w:rPr>
        <w:t>You will be eligible to be granted the following, subject to the approval of the Board:</w:t>
      </w:r>
    </w:p>
    <w:p>
      <w:pPr>
        <w:pStyle w:val="TextBody"/>
        <w:bidi w:val="0"/>
        <w:spacing w:before="0" w:after="240"/>
        <w:ind w:left="1440" w:right="0" w:hanging="0"/>
        <w:jc w:val="left"/>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An equity award equal to approximately 2.5 percent of the Company’s aggregate common stock and pre-funded warrants to purchase common stock issued and outstanding on the date of grant, comprised of approximately 75 percent a stock option to purchase shares of the Company’s common stock (the “Option Award”) and 25 percent restricted stock units for shares of the Company’s common stock (“RSUs”), in each case, based on the grant-date fair value and as determined by the Board (presently, for illustration only, this equity award would be a stock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left"/>
        <w:rPr>
          <w:rFonts w:ascii="Times New Roman" w:hAnsi="Times New Roman"/>
          <w:color w:val="000000"/>
          <w:sz w:val="22"/>
        </w:rPr>
      </w:pPr>
      <w:r>
        <w:rPr>
          <w:rFonts w:ascii="Times New Roman" w:hAnsi="Times New Roman"/>
          <w:color w:val="000000"/>
          <w:sz w:val="22"/>
        </w:rPr>
        <w:t>option to purchase one million three hundred twenty-six thousand (1,326,000) shares of the Company’s common stock and three hundred sixty-seven thousand (367,000) restricted stock units for shares of the Company’s common stock). Both the Option Award and the RSUs may either be granted under the Company’s 2021 Equity Incentive Plan, as amended (the “2021 Plan”), and the forms of award agreements thereunder, or the inducement award exception set forth in Nasdaq Marketplace Rule 5635(c)(4) outside of the 2021 Plan and be subject to terms substantially similar to the 2021 Plan and the forms of award agreements thereunder (“Inducement Award Exception”), as determined by the Board. The exercise price of the Option Award will equal the fair market value of the Company’s common stock on the date of grant and the vesting terms of the Option Award and RSUs will be outlined in the applicable equity agreements, as determined by the Board. You will be eligible for annual equity grants for years after 2026, subject to the approval of the Board. Any such grant will be subject to vesting and other terms in accordance with a grant agreement and the 2021 Plan (or any future Company equity plan from time to time).</w:t>
      </w:r>
    </w:p>
    <w:p>
      <w:pPr>
        <w:pStyle w:val="TextBody"/>
        <w:bidi w:val="0"/>
        <w:spacing w:before="0" w:after="240"/>
        <w:ind w:left="1440" w:right="0" w:hanging="0"/>
        <w:jc w:val="left"/>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left"/>
        <w:rPr/>
      </w:pPr>
      <w:r>
        <w:rPr>
          <w:rFonts w:ascii="Times New Roman" w:hAnsi="Times New Roman"/>
          <w:color w:val="000000"/>
          <w:sz w:val="22"/>
        </w:rPr>
        <w:t>An equity award equal to approximately 0.5 percent of the Company’s aggregate common stock and pre-funded warrants to purchase common stock issued and outstanding on the date of grant, in the form of performance-based restricted stock units for shares of the Company’s common stock (“PRSUs”), as determined by the Board (presently, for illustration only, this equity award would be three hundred thirty-nine thousand (339,000) performance-based restricted stock units for shares of the Company’s common stock). The PRSUs may either be granted under the 2021 Plan and the form of award agreement thereunder or the Inducement Award Exception, as determined by the Board. The PRSUs will be subject to both time-based vesting and the achievement of a Performance Condition (as defined below), both of which must be satisfied before the PRSUs will be deemed vested. The PRSUs shall vest in four substantially equal annual installments in accordance with the Company’s standard practices and as determined by the Board, subject to your continued service as of each such Time-based Vesting Date and the satisfaction of the Performance Condition. If the volume-weighted average price of the Company’s common stock, as reported on the Nasdaq Global Select Market or other national securities exchange, over thirty (30) consecutive trading days prior to the Expiration Date (as defined below) equals or exceeds 200% (the “Measurement Price”) of the closing price of the Company’s common stock on the trading date immediately prior to the Company’s public announcement of your appointment as its Chief Executive Officer (the “Performance Condition”), the Performance Condition shall be deemed satisfied. The Expiration Date shall be the earlier of (i) the sixth (6</w:t>
      </w:r>
      <w:r>
        <w:rPr>
          <w:rFonts w:ascii="Times New Roman" w:hAnsi="Times New Roman"/>
          <w:color w:val="000000"/>
          <w:sz w:val="15"/>
        </w:rPr>
        <w:t>th</w:t>
      </w:r>
      <w:r>
        <w:rPr>
          <w:rFonts w:ascii="Times New Roman" w:hAnsi="Times New Roman"/>
          <w:color w:val="000000"/>
          <w:sz w:val="22"/>
        </w:rPr>
        <w:t xml:space="preserve">) anniversary of the date of grant and (ii) the date you no longer have a Service Relationship (as defined in the 2021 Plan). Any such PRSUs that have not vested on or prior to the Expiration Date shall be forfeited for no consideration. Upon a Sale Event (as defined in the 2021 Plan) that is consummated prior to satisfaction of the Performance Condition and the Expiration Date, the Performance Condition shall be deemed satisfied if the Sale Price (as defined in the 2021 Plan) is equal to or in excess of the Measurement Price (and, for the avoidance of doubt, if the Performance Condition is satisfied as of or prior to such Sale Event, the PRSUs shall be treated as time-based awards for purposes of Section 7(a) of the Severance Plan (as defined below)). In the event the Performance Condition is not satisfied on or prior to consummation of the Sale Event, then except as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left"/>
        <w:rPr>
          <w:rFonts w:ascii="Times New Roman" w:hAnsi="Times New Roman"/>
          <w:color w:val="000000"/>
          <w:sz w:val="22"/>
        </w:rPr>
      </w:pPr>
      <w:r>
        <w:rPr>
          <w:rFonts w:ascii="Times New Roman" w:hAnsi="Times New Roman"/>
          <w:color w:val="000000"/>
          <w:sz w:val="22"/>
        </w:rPr>
        <w:t>Administrator (as defined in the 2021 Plan) may otherwise determine, the PRSUs shall be forfeited.</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4.</w:t>
      </w:r>
    </w:p>
    <w:p>
      <w:pPr>
        <w:pStyle w:val="TextBody"/>
        <w:bidi w:val="0"/>
        <w:spacing w:before="0" w:after="240"/>
        <w:jc w:val="both"/>
        <w:rPr/>
      </w:pPr>
      <w:r>
        <w:rPr>
          <w:rFonts w:ascii="Times New Roman" w:hAnsi="Times New Roman"/>
          <w:b/>
          <w:color w:val="000000"/>
          <w:sz w:val="22"/>
        </w:rPr>
        <w:t>Benefits</w:t>
      </w:r>
      <w:r>
        <w:rPr>
          <w:rFonts w:ascii="Times New Roman" w:hAnsi="Times New Roman"/>
          <w:color w:val="000000"/>
          <w:sz w:val="22"/>
        </w:rPr>
        <w:t>: As a full-time employee, and for so long as you meet the eligibility requirements of such insurance, you will be entitled to health insurance benefits currently available (currently healthcare, dental and vision) for which you are eligible, and you may elect to cover your spouse and immediate family. During 2026, there is no employee contribution to premiums, but this is subject to change. We also offer a 401(k) retirement plan for which you will be eligible to participate approximately three months after the Start Date, and the Company currently matches up to six percent (6%), subject to applicable limitations. Further, you will be entitled to four (4) weeks of paid vacation annually, which shall be utilized and accrued in accordance with the Company’s vacation policy (including any state specific policy). The Company retains the right to change, add or cease any particular benefit. Please note that your participation in any benefit plans, policies or practices of the Company is subject to meeting the eligibility requirements thereof, which may include a minimum duration of employment or number of hours of service, and the Company’s benefit programs, which are subject to change by the Company in its discretion.</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Restrictive Covenants Agreement; Indemnification Agreement.</w:t>
      </w:r>
    </w:p>
    <w:p>
      <w:pPr>
        <w:pStyle w:val="TextBody"/>
        <w:bidi w:val="0"/>
        <w:spacing w:before="0" w:after="240"/>
        <w:ind w:left="1440" w:right="0" w:hanging="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considers the protection of its confidential information and proprietary materials to be very important. Therefore, as a condition of your employment, you and the Company will execute a Confidential Information, Non-Solicitation, and Invention Assignment Agreement, substantially in the form previously provided to you by the Company (the “Restrictive Covenants Agreement”).</w:t>
      </w:r>
    </w:p>
    <w:p>
      <w:pPr>
        <w:pStyle w:val="TextBody"/>
        <w:bidi w:val="0"/>
        <w:spacing w:before="0" w:after="240"/>
        <w:ind w:left="1440" w:right="0" w:hanging="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and the Company will execute an Officer Indemnification Agreement, substantially in the form previously provided to you by the Company.</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6.</w:t>
      </w:r>
    </w:p>
    <w:p>
      <w:pPr>
        <w:pStyle w:val="TextBody"/>
        <w:bidi w:val="0"/>
        <w:spacing w:before="0" w:after="240"/>
        <w:jc w:val="both"/>
        <w:rPr/>
      </w:pPr>
      <w:r>
        <w:rPr>
          <w:rFonts w:ascii="Times New Roman" w:hAnsi="Times New Roman"/>
          <w:b/>
          <w:color w:val="000000"/>
          <w:sz w:val="22"/>
        </w:rPr>
        <w:t>Termination; Executive Severance Plan</w:t>
      </w:r>
      <w:r>
        <w:rPr>
          <w:rFonts w:ascii="Times New Roman" w:hAnsi="Times New Roman"/>
          <w:color w:val="000000"/>
          <w:sz w:val="22"/>
        </w:rPr>
        <w:t>.</w:t>
      </w:r>
    </w:p>
    <w:p>
      <w:pPr>
        <w:pStyle w:val="TextBody"/>
        <w:bidi w:val="0"/>
        <w:spacing w:before="0" w:after="240"/>
        <w:ind w:left="1440" w:right="0" w:hanging="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provision of this Agreement shall be construed to create an express or implied employment contract for a specific period of time and you will be employed by the Company “at will.” This means that you may terminate your employment with the Company at any time and for any reason or no reason, upon five (5) days’ prior written notice to the Company. Likewise, the Company reserves the right to terminate your employment at any time and for any reason or no reason, upon five (5) days’ prior written notice to you or up to five (5) days’ pay in lieu of any such notice; provided, however, that in the event of a termination for Cause (as defined in the Company’s Executive Severance Plan (as amended, the “Severance Plan”)), no prior notice (written or otherwise) will be required. In the event of the termination of your employment with the Company by either you or the Company for any reason or no reason, subject to Section 6(b) below, your salary under Section 1 (and the vesting of any stock options and RSUs under Section 2) shall immediately cease and this Agreement shall terminate; however, notwithstanding the foregoing, the Restrictive Covenants Agreement and Section 11 of this Agreement shall survive and remain in full force and effect in accordance with their terms.</w:t>
      </w:r>
    </w:p>
    <w:p>
      <w:pPr>
        <w:pStyle w:val="TextBody"/>
        <w:bidi w:val="0"/>
        <w:spacing w:before="0" w:after="240"/>
        <w:ind w:left="1440" w:right="0" w:hanging="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terms and conditions thereof, including without limitation, the approval of the Board, you will be eligible to participate in the Severance Plan, as in effect on the date of your execution of a Participation Agreement, as a Tier One Executive (each as defined in the Severance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you no longer hold the position of the Company’s Chief Executive Officer (“CEO”) for any reason, you agree you will immediately offer in writing to the Chairman of the Board to tender your resignation from the Board and, if accepted by the Board, you will resign from the Board effective as of the date that you are no longer the CEO.</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7.</w:t>
      </w:r>
    </w:p>
    <w:p>
      <w:pPr>
        <w:pStyle w:val="TextBody"/>
        <w:bidi w:val="0"/>
        <w:spacing w:before="0" w:after="240"/>
        <w:jc w:val="both"/>
        <w:rPr/>
      </w:pPr>
      <w:r>
        <w:rPr>
          <w:rFonts w:ascii="Times New Roman" w:hAnsi="Times New Roman"/>
          <w:b/>
          <w:color w:val="000000"/>
          <w:sz w:val="22"/>
        </w:rPr>
        <w:t>Status</w:t>
      </w:r>
      <w:r>
        <w:rPr>
          <w:rFonts w:ascii="Times New Roman" w:hAnsi="Times New Roman"/>
          <w:color w:val="000000"/>
          <w:sz w:val="22"/>
        </w:rPr>
        <w:t>: The Immigration Reform and Control Act requires employers to verify the employment eligibility and identity of new employees. You will need to complete the I-9 Form and bring it, together with the appropriate documents, with you when you report for work. We will not be able to employ you if you cannot comply with this requirement.</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8.</w:t>
      </w:r>
    </w:p>
    <w:p>
      <w:pPr>
        <w:pStyle w:val="TextBody"/>
        <w:bidi w:val="0"/>
        <w:spacing w:before="0" w:after="240"/>
        <w:jc w:val="both"/>
        <w:rPr/>
      </w:pPr>
      <w:r>
        <w:rPr>
          <w:rFonts w:ascii="Times New Roman" w:hAnsi="Times New Roman"/>
          <w:b/>
          <w:color w:val="000000"/>
          <w:sz w:val="22"/>
        </w:rPr>
        <w:t xml:space="preserve">Job location: </w:t>
      </w:r>
      <w:r>
        <w:rPr>
          <w:rFonts w:ascii="Times New Roman" w:hAnsi="Times New Roman"/>
          <w:color w:val="000000"/>
          <w:sz w:val="22"/>
        </w:rPr>
        <w:t>The Company has agreed that you will be working remotely from the State of California but will travel, including to the Company’s office in Boston, MA, as reasonably deemed necessary by the Board.</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9.</w:t>
      </w:r>
    </w:p>
    <w:p>
      <w:pPr>
        <w:pStyle w:val="TextBody"/>
        <w:bidi w:val="0"/>
        <w:spacing w:before="0" w:after="240"/>
        <w:jc w:val="both"/>
        <w:rPr/>
      </w:pPr>
      <w:r>
        <w:rPr>
          <w:rFonts w:ascii="Times New Roman" w:hAnsi="Times New Roman"/>
          <w:b/>
          <w:color w:val="000000"/>
          <w:sz w:val="22"/>
        </w:rPr>
        <w:t xml:space="preserve">Background and Reference Checks: </w:t>
      </w:r>
      <w:r>
        <w:rPr>
          <w:rFonts w:ascii="Times New Roman" w:hAnsi="Times New Roman"/>
          <w:color w:val="000000"/>
          <w:sz w:val="22"/>
        </w:rPr>
        <w:t>The Company has the right to rescind this offer pending results, in its sole discretion, of background and reference checks.</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10.</w:t>
      </w:r>
    </w:p>
    <w:p>
      <w:pPr>
        <w:pStyle w:val="TextBody"/>
        <w:bidi w:val="0"/>
        <w:spacing w:before="0" w:after="240"/>
        <w:jc w:val="both"/>
        <w:rPr/>
      </w:pPr>
      <w:r>
        <w:rPr>
          <w:rFonts w:ascii="Times New Roman" w:hAnsi="Times New Roman"/>
          <w:b/>
          <w:color w:val="000000"/>
          <w:sz w:val="22"/>
        </w:rPr>
        <w:t xml:space="preserve">Start date and Assurances: </w:t>
      </w:r>
      <w:r>
        <w:rPr>
          <w:rFonts w:ascii="Times New Roman" w:hAnsi="Times New Roman"/>
          <w:color w:val="000000"/>
          <w:sz w:val="22"/>
        </w:rPr>
        <w:t>Your start date as a full-time employee of the Company shall be on April 30, 2026, or as otherwise mutually agreed (the “Start Date”). You represent that (i) you are not a party to any agreement that would prohibit you from entering into employment with the Company; (ii) you have brought to the Company’s attention and provided it with a copy of any agreement that may impact your future employment with the Company or performing the services contemplated, including but not limited to any non-disclosure, non-competition, non-solicitation or invention assignment agreements containing future work restrictions; and (iii) you are not and will not during your employment engage in any activities that present a conflict of interest with the Company or your employment. You represent that prior to the Start Date, you will not take any actions on behalf of the Company or engage in any discussions or communications on behalf of the Company, including, without limitation, with any prospective Company employees or other service providers, in each case, unless directed by, and coordinated with, the Board.</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11.</w:t>
      </w:r>
    </w:p>
    <w:p>
      <w:pPr>
        <w:pStyle w:val="TextBody"/>
        <w:bidi w:val="0"/>
        <w:spacing w:before="0" w:after="240"/>
        <w:jc w:val="both"/>
        <w:rPr/>
      </w:pPr>
      <w:r>
        <w:rPr>
          <w:rFonts w:ascii="Times New Roman" w:hAnsi="Times New Roman"/>
          <w:b/>
          <w:color w:val="000000"/>
          <w:sz w:val="22"/>
        </w:rPr>
        <w:t>Non-disparagement</w:t>
      </w:r>
      <w:r>
        <w:rPr>
          <w:rFonts w:ascii="Times New Roman" w:hAnsi="Times New Roman"/>
          <w:color w:val="000000"/>
          <w:sz w:val="22"/>
        </w:rPr>
        <w:t>: Unless as required by law or valid subpoena, you agree that you will not, whether during your employment or thereafter, directly or indirectly, make or ratify any statement, public or private, oral or written, to any person that disparages, either professionally or personally, the Company or any of its known affiliates, past and present, and each of them, as well as its and their known trustees, directors, officers, members, managers, partners, agents, attorneys, insurers, employees, stockholders, representatives, assigns, and successors, past and present, and each of them.</w:t>
      </w:r>
    </w:p>
    <w:p>
      <w:pPr>
        <w:pStyle w:val="TextBody"/>
        <w:bidi w:val="0"/>
        <w:spacing w:before="0" w:after="240"/>
        <w:ind w:left="720" w:right="0" w:hanging="0"/>
        <w:jc w:val="both"/>
        <w:rPr>
          <w:rFonts w:ascii="Times New Roman" w:hAnsi="Times New Roman"/>
          <w:color w:val="010000"/>
          <w:sz w:val="22"/>
        </w:rPr>
      </w:pPr>
      <w:r>
        <w:rPr>
          <w:rFonts w:ascii="Times New Roman" w:hAnsi="Times New Roman"/>
          <w:color w:val="010000"/>
          <w:sz w:val="22"/>
        </w:rPr>
        <w:t>12.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General:</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your timely execution and return of this Agreement and the Restrictive Covenants Agreement to the Company, and the other conditions hereof, this offer is binding and your employment with the Company will become effective on the Start Date. This Agreement, the Restrictive Covenants Agreement, and, subject to your execution of a Participation Agreement, the Severance Plan, constitute our entire agreement as to the terms of your employment by the Company and will supersede any prior agreements or understanding, whether in writing or oral.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governed by the laws of the State of California, without application of its principles of conflict laws.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is binding on the Company’s successors and assigns.</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[Remainder of Page Intentionally Left Blank]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Please sign and date this Agreement on the spaces provided below to acknowledge your agreement and acceptance hereof and return this Agreement to the Company by April 30, 2026, after which time it will expire.</w:t>
      </w:r>
    </w:p>
    <w:p>
      <w:pPr>
        <w:pStyle w:val="TextBody"/>
        <w:bidi w:val="0"/>
        <w:spacing w:before="0" w:after="600"/>
        <w:jc w:val="left"/>
        <w:rPr>
          <w:rFonts w:ascii="Times New Roman" w:hAnsi="Times New Roman"/>
          <w:color w:val="000000"/>
          <w:sz w:val="22"/>
        </w:rPr>
      </w:pPr>
      <w:r>
        <w:rPr>
          <w:rFonts w:ascii="Times New Roman" w:hAnsi="Times New Roman"/>
          <w:color w:val="000000"/>
          <w:sz w:val="22"/>
        </w:rPr>
        <w:t>We very much hope to work with you to build an exciting company together. Please feel free to call me if you have any questions.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600"/>
        <w:jc w:val="both"/>
        <w:rPr>
          <w:rFonts w:ascii="Times New Roman" w:hAnsi="Times New Roman"/>
          <w:color w:val="000000"/>
          <w:sz w:val="22"/>
        </w:rPr>
      </w:pPr>
      <w:r>
        <w:rPr>
          <w:rFonts w:ascii="Times New Roman" w:hAnsi="Times New Roman"/>
          <w:color w:val="000000"/>
          <w:sz w:val="22"/>
        </w:rPr>
        <w:t>AURA BIOSCIENCES, INC.</w:t>
      </w:r>
    </w:p>
    <w:p>
      <w:pPr>
        <w:pStyle w:val="TextBody"/>
        <w:bidi w:val="0"/>
        <w:spacing w:before="0" w:after="72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David Johnson </w:t>
      </w:r>
      <w:r>
        <w:rPr>
          <w:rFonts w:ascii="Times New Roman" w:hAnsi="Times New Roman"/>
          <w:color w:val="000000"/>
          <w:sz w:val="22"/>
        </w:rPr>
        <w:br/>
        <w:t>David Johnson, Chairman of the Board of Directors</w:t>
        <w:br/>
        <w:t>Hereunto Duly Authorized</w:t>
      </w:r>
    </w:p>
    <w:tbl>
      <w:tblPr>
        <w:tblW w:w="4337" w:type="dxa"/>
        <w:jc w:val="left"/>
        <w:tblInd w:w="0" w:type="dxa"/>
        <w:tblLayout w:type="fixed"/>
        <w:tblCellMar>
          <w:top w:w="28" w:type="dxa"/>
          <w:left w:w="28" w:type="dxa"/>
          <w:bottom w:w="28" w:type="dxa"/>
          <w:right w:w="28" w:type="dxa"/>
        </w:tblCellMar>
      </w:tblPr>
      <w:tblGrid>
        <w:gridCol w:w="2806"/>
        <w:gridCol w:w="1531"/>
      </w:tblGrid>
      <w:tr>
        <w:trPr/>
        <w:tc>
          <w:tcPr>
            <w:tcW w:w="280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AGREED AND ACCEPTED</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Accepted</w:t>
            </w:r>
          </w:p>
        </w:tc>
      </w:tr>
      <w:tr>
        <w:trPr/>
        <w:tc>
          <w:tcPr>
            <w:tcW w:w="280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color w:val="000000"/>
                <w:sz w:val="22"/>
                <w:u w:val="single"/>
              </w:rPr>
            </w:pPr>
            <w:r>
              <w:rPr>
                <w:rFonts w:ascii="Times New Roman" w:hAnsi="Times New Roman"/>
                <w:color w:val="000000"/>
                <w:sz w:val="22"/>
                <w:u w:val="single"/>
              </w:rPr>
              <w:t>/s/ Natalie Holles</w:t>
            </w:r>
          </w:p>
        </w:tc>
        <w:tc>
          <w:tcPr>
            <w:tcW w:w="153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color w:val="000000"/>
                <w:sz w:val="22"/>
                <w:u w:val="single"/>
              </w:rPr>
            </w:pPr>
            <w:r>
              <w:rPr>
                <w:rFonts w:ascii="Times New Roman" w:hAnsi="Times New Roman"/>
                <w:color w:val="000000"/>
                <w:sz w:val="22"/>
                <w:u w:val="single"/>
              </w:rPr>
              <w:t>4/29/2026</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Natalie Holles</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6" w:name="aura-ex10_2.htm"/>
      <w:bookmarkStart w:id="27" w:name="ksauraex10_2"/>
      <w:bookmarkEnd w:id="26"/>
      <w:bookmarkEnd w:id="27"/>
      <w:r>
        <w:rPr>
          <w:rFonts w:ascii="Times New Roman" w:hAnsi="Times New Roman"/>
          <w:b/>
          <w:color w:val="000000"/>
          <w:sz w:val="22"/>
        </w:rPr>
        <w:t>Exhibit 10.2</w:t>
      </w:r>
      <w:r>
        <w:br w:type="page"/>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May 1, 2026</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PERSONAL AND CONFIDENTIAL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Elisabet de los Pinos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Re: </w:t>
      </w:r>
      <w:r>
        <w:rPr>
          <w:rFonts w:ascii="Times New Roman" w:hAnsi="Times New Roman"/>
          <w:color w:val="000000"/>
          <w:sz w:val="22"/>
          <w:u w:val="single"/>
        </w:rPr>
        <w:t>Amended &amp; Restated Consulting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Dear Ms. de los Pinos:</w:t>
      </w:r>
    </w:p>
    <w:p>
      <w:pPr>
        <w:pStyle w:val="TextBody"/>
        <w:bidi w:val="0"/>
        <w:spacing w:before="0" w:after="240"/>
        <w:jc w:val="left"/>
        <w:rPr>
          <w:rFonts w:ascii="Times New Roman" w:hAnsi="Times New Roman"/>
          <w:sz w:val="20"/>
        </w:rPr>
      </w:pPr>
      <w:r>
        <w:rPr>
          <w:rFonts w:ascii="Times New Roman" w:hAnsi="Times New Roman"/>
          <w:color w:val="000000"/>
          <w:sz w:val="22"/>
        </w:rPr>
        <w:t>In connection with the termination of your employment with Aura Biosciences,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effective on April 30, 2026 (the “</w:t>
      </w:r>
      <w:r>
        <w:rPr>
          <w:rFonts w:ascii="Times New Roman" w:hAnsi="Times New Roman"/>
          <w:color w:val="000000"/>
          <w:sz w:val="22"/>
          <w:u w:val="single"/>
        </w:rPr>
        <w:t>Termination Date</w:t>
      </w:r>
      <w:r>
        <w:rPr>
          <w:rFonts w:ascii="Times New Roman" w:hAnsi="Times New Roman"/>
          <w:color w:val="000000"/>
          <w:sz w:val="20"/>
        </w:rPr>
        <w:t>”</w:t>
      </w:r>
      <w:r>
        <w:rPr>
          <w:rFonts w:ascii="Times New Roman" w:hAnsi="Times New Roman"/>
          <w:color w:val="000000"/>
          <w:sz w:val="22"/>
        </w:rPr>
        <w:t>), you and the Company entered into that certain Consulting Agreement dated as of April 30, 2026 (the “</w:t>
      </w:r>
      <w:r>
        <w:rPr>
          <w:rFonts w:ascii="Times New Roman" w:hAnsi="Times New Roman"/>
          <w:color w:val="000000"/>
          <w:sz w:val="22"/>
          <w:u w:val="single"/>
        </w:rPr>
        <w:t>Prior Agreement</w:t>
      </w:r>
      <w:r>
        <w:rPr>
          <w:rFonts w:ascii="Times New Roman" w:hAnsi="Times New Roman"/>
          <w:color w:val="000000"/>
          <w:sz w:val="20"/>
        </w:rPr>
        <w:t>”</w:t>
      </w:r>
      <w:r>
        <w:rPr>
          <w:rFonts w:ascii="Times New Roman" w:hAnsi="Times New Roman"/>
          <w:color w:val="000000"/>
          <w:sz w:val="22"/>
        </w:rPr>
        <w:t>). The Company and you now desire to amend, restate, and supersede the Prior Agreement in its entirety. Accordingly, the terms set forth below shall constitute the amended and restated consulting agreement between you and the Company (this “</w:t>
      </w:r>
      <w:r>
        <w:rPr>
          <w:rFonts w:ascii="Times New Roman" w:hAnsi="Times New Roman"/>
          <w:color w:val="000000"/>
          <w:sz w:val="22"/>
          <w:u w:val="single"/>
        </w:rPr>
        <w:t>Consulting Agreement</w:t>
      </w:r>
      <w:r>
        <w:rPr>
          <w:rFonts w:ascii="Times New Roman" w:hAnsi="Times New Roman"/>
          <w:color w:val="000000"/>
          <w:sz w:val="20"/>
        </w:rPr>
        <w:t>”</w:t>
      </w:r>
      <w:r>
        <w:rPr>
          <w:rFonts w:ascii="Times New Roman" w:hAnsi="Times New Roman"/>
          <w:color w:val="000000"/>
          <w:sz w:val="22"/>
        </w:rPr>
        <w:t>), which, upon execution by both parties, shall amend, restate, and supersede the Prior Agreement in its entirety. Now, therefore, in consideration of the agreements and obligations set forth herein and for other good and valuable consideration, the receipt and sufficiency of which are hereby acknowledged, you and Company hereby agree as follows:</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1.</w:t>
      </w:r>
    </w:p>
    <w:p>
      <w:pPr>
        <w:pStyle w:val="TextBody"/>
        <w:bidi w:val="0"/>
        <w:spacing w:before="0" w:after="240"/>
        <w:jc w:val="left"/>
        <w:rPr/>
      </w:pPr>
      <w:r>
        <w:rPr>
          <w:rFonts w:ascii="Times New Roman" w:hAnsi="Times New Roman"/>
          <w:color w:val="000000"/>
          <w:sz w:val="22"/>
          <w:u w:val="single"/>
        </w:rPr>
        <w:t>Consulting Period; Services; Consideration</w:t>
      </w:r>
      <w:r>
        <w:rPr>
          <w:rFonts w:ascii="Times New Roman" w:hAnsi="Times New Roman"/>
          <w:color w:val="000000"/>
          <w:sz w:val="22"/>
        </w:rPr>
        <w:t>. Provided you do not revoke and comply with that certain Transition and Release Agreement by and between you and the Company dated April 30, 2026 (the “</w:t>
      </w:r>
      <w:r>
        <w:rPr>
          <w:rFonts w:ascii="Times New Roman" w:hAnsi="Times New Roman"/>
          <w:color w:val="000000"/>
          <w:sz w:val="22"/>
          <w:u w:val="single"/>
        </w:rPr>
        <w:t>Release Agreement</w:t>
      </w:r>
      <w:r>
        <w:rPr>
          <w:color w:val="000000"/>
        </w:rPr>
        <w:t>”</w:t>
      </w:r>
      <w:r>
        <w:rPr>
          <w:rFonts w:ascii="Times New Roman" w:hAnsi="Times New Roman"/>
          <w:color w:val="000000"/>
          <w:sz w:val="22"/>
        </w:rPr>
        <w:t>), the term of this Consulting Agreement and your services as a consultant for the Company shall commence immediately following the Termination Date and, unless terminated earlier pursuant to Section 6 below, shall continue in effect through the six (6) month anniversary of the Termination Date (such anniversary, the “</w:t>
      </w:r>
      <w:r>
        <w:rPr>
          <w:rFonts w:ascii="Times New Roman" w:hAnsi="Times New Roman"/>
          <w:color w:val="000000"/>
          <w:sz w:val="22"/>
          <w:u w:val="single"/>
        </w:rPr>
        <w:t>Outside Date</w:t>
      </w:r>
      <w:r>
        <w:rPr>
          <w:rFonts w:ascii="Times New Roman" w:hAnsi="Times New Roman"/>
          <w:color w:val="000000"/>
          <w:sz w:val="22"/>
        </w:rPr>
        <w:t>,” and, such period, the “</w:t>
      </w:r>
      <w:r>
        <w:rPr>
          <w:rFonts w:ascii="Times New Roman" w:hAnsi="Times New Roman"/>
          <w:color w:val="000000"/>
          <w:sz w:val="22"/>
          <w:u w:val="single"/>
        </w:rPr>
        <w:t>Consulting Period</w:t>
      </w:r>
      <w:r>
        <w:rPr>
          <w:color w:val="000000"/>
        </w:rPr>
        <w:t>”</w:t>
      </w:r>
      <w:r>
        <w:rPr>
          <w:rFonts w:ascii="Times New Roman" w:hAnsi="Times New Roman"/>
          <w:color w:val="000000"/>
          <w:sz w:val="22"/>
        </w:rPr>
        <w:t>). During the Consulting Period, you shall provide to the Company the services reasonably requested by the Chief Executive Officer of the Company that relate to the transition of your responsibilities during your employment as Chief Executive Officer (the “</w:t>
      </w:r>
      <w:r>
        <w:rPr>
          <w:rFonts w:ascii="Times New Roman" w:hAnsi="Times New Roman"/>
          <w:color w:val="000000"/>
          <w:sz w:val="22"/>
          <w:u w:val="single"/>
        </w:rPr>
        <w:t>Services</w:t>
      </w:r>
      <w:r>
        <w:rPr>
          <w:color w:val="000000"/>
        </w:rPr>
        <w:t>”</w:t>
      </w:r>
      <w:r>
        <w:rPr>
          <w:rFonts w:ascii="Times New Roman" w:hAnsi="Times New Roman"/>
          <w:color w:val="000000"/>
          <w:sz w:val="22"/>
        </w:rPr>
        <w:t>), with such Services not to exceed ten (10) hours per month, unless otherwise mutually agreed by you and the Company. As consideration for your agreement to this Consulting Agreement, subject in each case to (i) the terms of the Company’s Amended and Restated 2009 Stock Option and Restricted Stock Plan, 2018 Equity Incentive Plan and 2021 Stock Option and Incentive Plan and the associated award agreements thereunder (collectively, the “</w:t>
      </w:r>
      <w:r>
        <w:rPr>
          <w:rFonts w:ascii="Times New Roman" w:hAnsi="Times New Roman"/>
          <w:color w:val="000000"/>
          <w:sz w:val="22"/>
          <w:u w:val="single"/>
        </w:rPr>
        <w:t>Equity</w:t>
      </w:r>
      <w:r>
        <w:rPr>
          <w:color w:val="000000"/>
        </w:rPr>
        <w:t xml:space="preserve"> </w:t>
      </w:r>
      <w:r>
        <w:rPr>
          <w:rFonts w:ascii="Times New Roman" w:hAnsi="Times New Roman"/>
          <w:color w:val="000000"/>
          <w:sz w:val="22"/>
          <w:u w:val="single"/>
        </w:rPr>
        <w:t>Documents</w:t>
      </w:r>
      <w:r>
        <w:rPr>
          <w:color w:val="000000"/>
        </w:rPr>
        <w:t>”</w:t>
      </w:r>
      <w:r>
        <w:rPr>
          <w:rFonts w:ascii="Times New Roman" w:hAnsi="Times New Roman"/>
          <w:color w:val="000000"/>
          <w:sz w:val="22"/>
        </w:rPr>
        <w:t>), unless otherwise specified herein, and (ii) you executing, not revoking, and complying with the terms of the Release Agreement, and (iii) complying with the terms of this Consulting Agreement, you shall receive the following benefits, to which you agree you would not otherwise be entitled:</w:t>
      </w:r>
    </w:p>
    <w:p>
      <w:pPr>
        <w:pStyle w:val="TextBody"/>
        <w:bidi w:val="0"/>
        <w:spacing w:before="0" w:after="240"/>
        <w:ind w:left="0" w:right="0" w:firstLine="1440"/>
        <w:jc w:val="left"/>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left"/>
        <w:rPr/>
      </w:pPr>
      <w:r>
        <w:rPr>
          <w:rFonts w:ascii="Times New Roman" w:hAnsi="Times New Roman"/>
          <w:color w:val="000000"/>
          <w:sz w:val="22"/>
          <w:u w:val="single"/>
        </w:rPr>
        <w:t>Post-Termination Exercise Period Extension</w:t>
      </w:r>
      <w:r>
        <w:rPr>
          <w:rFonts w:ascii="Times New Roman" w:hAnsi="Times New Roman"/>
          <w:color w:val="000000"/>
          <w:sz w:val="22"/>
        </w:rPr>
        <w:t>: Notwithstanding anything to the contrary in the Equity Documents, the Company will extend the period of time in which you may exercise any vested options to purchase shares of common stock in the capital of the Company (“</w:t>
      </w:r>
      <w:r>
        <w:rPr>
          <w:rFonts w:ascii="Times New Roman" w:hAnsi="Times New Roman"/>
          <w:color w:val="000000"/>
          <w:sz w:val="22"/>
          <w:u w:val="single"/>
        </w:rPr>
        <w:t>Options</w:t>
      </w:r>
      <w:r>
        <w:rPr>
          <w:color w:val="000000"/>
        </w:rPr>
        <w:t>”</w:t>
      </w:r>
      <w:r>
        <w:rPr>
          <w:rFonts w:ascii="Times New Roman" w:hAnsi="Times New Roman"/>
          <w:color w:val="000000"/>
          <w:sz w:val="22"/>
        </w:rPr>
        <w:t>) until the earlier of (i) June 30, 2028 and (ii) the original expiration date for the applicable Option, subject to any earlier termination as may be required pursuant to the Equity Documents. You acknowledge that such extension of the post-termination exercise period for the vested Options described herein will cause the Options, if they were intended to qualify as incentive stock options within the meaning of Section 422 of the Internal Revenue Code of 1986, as amended, to be taxable as a nonqualified stock options under U.S. federal tax laws.</w:t>
      </w:r>
    </w:p>
    <w:p>
      <w:pPr>
        <w:pStyle w:val="TextBody"/>
        <w:bidi w:val="0"/>
        <w:spacing w:before="0" w:after="240"/>
        <w:ind w:left="0" w:right="0" w:firstLine="1440"/>
        <w:jc w:val="left"/>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left"/>
        <w:rPr/>
      </w:pPr>
      <w:r>
        <w:rPr>
          <w:rFonts w:ascii="Times New Roman" w:hAnsi="Times New Roman"/>
          <w:color w:val="000000"/>
          <w:sz w:val="22"/>
          <w:u w:val="single"/>
        </w:rPr>
        <w:t>Consulting Period Accelerated Vesting</w:t>
      </w:r>
      <w:r>
        <w:rPr>
          <w:rFonts w:ascii="Times New Roman" w:hAnsi="Times New Roman"/>
          <w:color w:val="000000"/>
          <w:sz w:val="22"/>
        </w:rPr>
        <w:t>: Notwithstanding anything to the contrary in the Equity Documents, your previously granted equity awards (collectively, and including the Options, the “</w:t>
      </w:r>
      <w:r>
        <w:rPr>
          <w:rFonts w:ascii="Times New Roman" w:hAnsi="Times New Roman"/>
          <w:color w:val="000000"/>
          <w:sz w:val="22"/>
          <w:u w:val="single"/>
        </w:rPr>
        <w:t>Equity Grants</w:t>
      </w:r>
      <w:r>
        <w:rPr>
          <w:color w:val="000000"/>
        </w:rPr>
        <w:t>”</w:t>
      </w:r>
      <w:r>
        <w:rPr>
          <w:rFonts w:ascii="Times New Roman" w:hAnsi="Times New Roman"/>
          <w:color w:val="000000"/>
          <w:sz w:val="22"/>
        </w:rPr>
        <w:t xml:space="preserve">) that are unvested as of the Termination Date shall vest on an accelerated basis during the Consulting Period as follows: (i) three-sixths (3/6) of the unvested Equity Grants shall vest 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ninety-first (91st) day following the Termination Date, (ii) one-sixth (1/6) of the unvested Equity Grants shall vest on the four (4) month anniversary of the Termination Date, (iii) one-sixth (1/6) of the unvested Equity Grants shall vest on the five (5) month anniversary of the Termination Date, and (iv) one-sixth (1/6) of the unvested Equity Grants shall vest on the six (6) month anniversary of the Termination Date, such that, as of the Outside Date, your Equity Grants shall be fully vested, exercisable, and/or nonforfeitable (as applicable); provided, however, that (x) if the Company terminates your engagement under this Consulting Agreement for Cause (as defined below) or if you terminate your engagement under this Consulting Agreement for any reason, other than as set forth in Section 6 below, your Equity Grants shall immediately cease vesting and (y) if the Company terminates your engagement under this Consulting Agreement without Cause, then any then unvested portion of the Equity Grants shall become fully vested, exercisable, and/or nonforfeitable (as applicable) as of such termination date.</w:t>
      </w:r>
    </w:p>
    <w:p>
      <w:pPr>
        <w:pStyle w:val="TextBody"/>
        <w:bidi w:val="0"/>
        <w:spacing w:before="0" w:after="240"/>
        <w:ind w:left="0" w:right="0" w:firstLine="1440"/>
        <w:jc w:val="left"/>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left"/>
        <w:rPr/>
      </w:pPr>
      <w:r>
        <w:rPr>
          <w:rFonts w:ascii="Times New Roman" w:hAnsi="Times New Roman"/>
          <w:color w:val="000000"/>
          <w:sz w:val="22"/>
          <w:u w:val="single"/>
        </w:rPr>
        <w:t>Change in Control Accelerated Vesting</w:t>
      </w:r>
      <w:r>
        <w:rPr>
          <w:rFonts w:ascii="Times New Roman" w:hAnsi="Times New Roman"/>
          <w:color w:val="000000"/>
          <w:sz w:val="22"/>
        </w:rPr>
        <w:t>: Notwithstanding anything to the contrary in the Equity Documents and subject to approval by the Board, upon the consummation of a Change in Control (as defined below) while the Consulting Agreement is in effect, 100% of your Equity Grants shall immediately become fully vested, exercisable, and/or nonforfeitable (as applicable). For purposes of this Consulting Agreement, “</w:t>
      </w:r>
      <w:r>
        <w:rPr>
          <w:rFonts w:ascii="Times New Roman" w:hAnsi="Times New Roman"/>
          <w:color w:val="000000"/>
          <w:sz w:val="22"/>
          <w:u w:val="single"/>
        </w:rPr>
        <w:t>Change in Control</w:t>
      </w:r>
      <w:r>
        <w:rPr>
          <w:color w:val="000000"/>
        </w:rPr>
        <w:t xml:space="preserve">” </w:t>
      </w:r>
      <w:r>
        <w:rPr>
          <w:rFonts w:ascii="Times New Roman" w:hAnsi="Times New Roman"/>
          <w:color w:val="000000"/>
          <w:sz w:val="22"/>
        </w:rPr>
        <w:t>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2.</w:t>
      </w:r>
    </w:p>
    <w:p>
      <w:pPr>
        <w:pStyle w:val="TextBody"/>
        <w:bidi w:val="0"/>
        <w:spacing w:before="0" w:after="240"/>
        <w:jc w:val="left"/>
        <w:rPr/>
      </w:pPr>
      <w:r>
        <w:rPr>
          <w:rFonts w:ascii="Times New Roman" w:hAnsi="Times New Roman"/>
          <w:color w:val="000000"/>
          <w:sz w:val="22"/>
          <w:u w:val="single"/>
        </w:rPr>
        <w:t>Expenses</w:t>
      </w:r>
      <w:r>
        <w:rPr>
          <w:rFonts w:ascii="Times New Roman" w:hAnsi="Times New Roman"/>
          <w:color w:val="000000"/>
          <w:sz w:val="22"/>
        </w:rPr>
        <w:t>. The Company shall reimburse you for reasonable and necessary out-of-pocket expenses incurred by you in the performance of the Services to the Company, provided such out-of-pocket expenses are approved in advance by the Company in writing and further supported by reasonable documentation.</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3.</w:t>
      </w:r>
    </w:p>
    <w:p>
      <w:pPr>
        <w:pStyle w:val="TextBody"/>
        <w:bidi w:val="0"/>
        <w:spacing w:before="0" w:after="240"/>
        <w:jc w:val="left"/>
        <w:rPr/>
      </w:pPr>
      <w:r>
        <w:rPr>
          <w:rFonts w:ascii="Times New Roman" w:hAnsi="Times New Roman"/>
          <w:color w:val="000000"/>
          <w:sz w:val="22"/>
          <w:u w:val="single"/>
        </w:rPr>
        <w:t>Resignation from Other Positions</w:t>
      </w:r>
      <w:r>
        <w:rPr>
          <w:rFonts w:ascii="Times New Roman" w:hAnsi="Times New Roman"/>
          <w:color w:val="000000"/>
          <w:sz w:val="22"/>
        </w:rPr>
        <w:t>. In connection with the ending of your employment, you hereby (i) resign from your status as an employee, officer or other positions you occupy at the Company and resign from your status as an employee, officer, director or other positions you occupy at any subsidiary of the Company, in each case, effective as of the last day of your employment and (ii) agree to execute such documentation as the Company reasonably requires to effectuate such resignations.</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4.</w:t>
      </w:r>
    </w:p>
    <w:p>
      <w:pPr>
        <w:pStyle w:val="TextBody"/>
        <w:bidi w:val="0"/>
        <w:spacing w:before="0" w:after="240"/>
        <w:jc w:val="left"/>
        <w:rPr/>
      </w:pPr>
      <w:r>
        <w:rPr>
          <w:rFonts w:ascii="Times New Roman" w:hAnsi="Times New Roman"/>
          <w:color w:val="221F1F"/>
          <w:sz w:val="22"/>
          <w:u w:val="single"/>
        </w:rPr>
        <w:t>Ongoing Obligations</w:t>
      </w:r>
      <w:r>
        <w:rPr>
          <w:rFonts w:ascii="Times New Roman" w:hAnsi="Times New Roman"/>
          <w:color w:val="221F1F"/>
          <w:sz w:val="22"/>
        </w:rPr>
        <w:t xml:space="preserve">. You are subject to continuing obligations under (i) </w:t>
      </w:r>
      <w:r>
        <w:rPr>
          <w:rFonts w:ascii="Times New Roman" w:hAnsi="Times New Roman"/>
          <w:color w:val="000000"/>
          <w:sz w:val="22"/>
        </w:rPr>
        <w:t>your offer letter with the Company dated January 22, 2010 (including Section 6 (“Restrictive Covenants”) and Section 7 (“Proprietary Rights”)) (the “</w:t>
      </w:r>
      <w:r>
        <w:rPr>
          <w:rFonts w:ascii="Times New Roman" w:hAnsi="Times New Roman"/>
          <w:color w:val="000000"/>
          <w:sz w:val="22"/>
          <w:u w:val="single"/>
        </w:rPr>
        <w:t>Offer Letter</w:t>
      </w:r>
      <w:r>
        <w:rPr>
          <w:color w:val="000000"/>
        </w:rPr>
        <w:t>”</w:t>
      </w:r>
      <w:r>
        <w:rPr>
          <w:rFonts w:ascii="Times New Roman" w:hAnsi="Times New Roman"/>
          <w:color w:val="000000"/>
          <w:sz w:val="22"/>
        </w:rPr>
        <w:t>), (ii) the Employment Agreement by and between you and the Company dated January 1, 2015, as amended on October 13, 2017 (the “</w:t>
      </w:r>
      <w:r>
        <w:rPr>
          <w:rFonts w:ascii="Times New Roman" w:hAnsi="Times New Roman"/>
          <w:color w:val="000000"/>
          <w:sz w:val="22"/>
          <w:u w:val="single"/>
        </w:rPr>
        <w:t>Employment Agreement</w:t>
      </w:r>
      <w:r>
        <w:rPr>
          <w:color w:val="000000"/>
        </w:rPr>
        <w:t>”</w:t>
      </w:r>
      <w:r>
        <w:rPr>
          <w:rFonts w:ascii="Times New Roman" w:hAnsi="Times New Roman"/>
          <w:color w:val="000000"/>
          <w:sz w:val="22"/>
        </w:rPr>
        <w:t>), (iii) the Release Agreement (collectively, the “</w:t>
      </w:r>
      <w:r>
        <w:rPr>
          <w:rFonts w:ascii="Times New Roman" w:hAnsi="Times New Roman"/>
          <w:color w:val="000000"/>
          <w:sz w:val="22"/>
          <w:u w:val="single"/>
        </w:rPr>
        <w:t>Ongoing Obligations</w:t>
      </w:r>
      <w:r>
        <w:rPr>
          <w:color w:val="000000"/>
        </w:rPr>
        <w:t>”</w:t>
      </w:r>
      <w:r>
        <w:rPr>
          <w:rFonts w:ascii="Times New Roman" w:hAnsi="Times New Roman"/>
          <w:color w:val="000000"/>
          <w:sz w:val="22"/>
        </w:rPr>
        <w:t>). The Ongoing Obligations shall remain in full force and effect, and are incorporated by reference herein. Additionally, you shall continue to be subject to the terms of the Company’s Amended and Restated Insider Trading Policy and any other policies applicable to consultants.</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5.</w:t>
      </w:r>
    </w:p>
    <w:p>
      <w:pPr>
        <w:pStyle w:val="TextBody"/>
        <w:bidi w:val="0"/>
        <w:spacing w:before="0" w:after="240"/>
        <w:jc w:val="left"/>
        <w:rPr/>
      </w:pPr>
      <w:r>
        <w:rPr>
          <w:rFonts w:ascii="Times New Roman" w:hAnsi="Times New Roman"/>
          <w:color w:val="000000"/>
          <w:sz w:val="22"/>
          <w:u w:val="single"/>
        </w:rPr>
        <w:t>Independent Contractor</w:t>
      </w:r>
      <w:r>
        <w:rPr>
          <w:rFonts w:ascii="Times New Roman" w:hAnsi="Times New Roman"/>
          <w:color w:val="000000"/>
          <w:sz w:val="22"/>
        </w:rPr>
        <w:t xml:space="preserve">. You agree that you are not, nor shall you be deemed to be at any time during the term of this Consulting Agreement, an employee of the Company. Your status and relationship with the Company shall be that of an independent contractor and consultant. You shall not state or imply,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directly or indirectly, that you are empowered to bind the Company without the Company’s prior written consent. Nothing herein shall create, expressly or by implication, a partnership, joint venture or other association between you and the Company. You acknowledge and agree that you are obligated to pay all taxes, unemployment, disability insurance and workers’ compensation payments applicable to you or the Services, and that you will not be eligible for any employee benefits, except as specified herein or in the Release Agreement, and expressly waive any entitlement to such benefits. You agree that the Services will be provided by you directly and not any other person or entity.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Except insofar as it would preclude you from providing the Services under this Consulting Agreement or violate a term of this Consulting Agreement or the Ongoing Obligations, you are free to perform services for any other person.</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6.</w:t>
      </w:r>
    </w:p>
    <w:p>
      <w:pPr>
        <w:pStyle w:val="TextBody"/>
        <w:bidi w:val="0"/>
        <w:spacing w:before="0" w:after="240"/>
        <w:jc w:val="left"/>
        <w:rPr/>
      </w:pPr>
      <w:r>
        <w:rPr>
          <w:rFonts w:ascii="Times New Roman" w:hAnsi="Times New Roman"/>
          <w:color w:val="000000"/>
          <w:sz w:val="22"/>
          <w:u w:val="single"/>
        </w:rPr>
        <w:t>Cancellation of Services</w:t>
      </w:r>
      <w:r>
        <w:rPr>
          <w:rFonts w:ascii="Times New Roman" w:hAnsi="Times New Roman"/>
          <w:color w:val="000000"/>
          <w:sz w:val="22"/>
        </w:rPr>
        <w:t>. The Company may, at any time, terminate the performance of all or any portion of the Services to be provided hereunder and either you or the Company may terminate this Consulting Agreement upon sixty (60) days prior written notice to the nonterminating party stating its intention to terminate. The Company, however, may immediately terminate the Services and this Agreement for Cause. For purposes of this Consulting Agreement, “</w:t>
      </w:r>
      <w:r>
        <w:rPr>
          <w:rFonts w:ascii="Times New Roman" w:hAnsi="Times New Roman"/>
          <w:color w:val="000000"/>
          <w:sz w:val="22"/>
          <w:u w:val="single"/>
        </w:rPr>
        <w:t>Cause</w:t>
      </w:r>
      <w:r>
        <w:rPr>
          <w:color w:val="000000"/>
        </w:rPr>
        <w:t xml:space="preserve">” </w:t>
      </w:r>
      <w:r>
        <w:rPr>
          <w:rFonts w:ascii="Times New Roman" w:hAnsi="Times New Roman"/>
          <w:color w:val="000000"/>
          <w:sz w:val="22"/>
        </w:rPr>
        <w:t>shall mean, as determined by the Company in good faith: (a) repeated refusal to perform the Services or follow a lawful directive from the Chief Executive Officer of the Company; (b) your material breach of any written agreement between you and the Company, including but not limited to this Consulting Agreement and the Ongoing Obligations; or (c) your gross negligence or willful misconduct that would reasonably be expected to result in material injury or reputational harm to the Company. You may terminate this agreement immediately upon the Company’s material breach of this Consulting Agreement or the Release Agreement. In each case, to the extent the reason for the termination is curable, the terminating party shall provide in writing the reason for such termination within thirty (30) days of the condition giving rise to Cause, and the party receiving such notice of termination for Cause shall have thirty (30) days to cure such condition.</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7.</w:t>
      </w:r>
    </w:p>
    <w:p>
      <w:pPr>
        <w:pStyle w:val="TextBody"/>
        <w:bidi w:val="0"/>
        <w:spacing w:before="0" w:after="240"/>
        <w:jc w:val="left"/>
        <w:rPr/>
      </w:pPr>
      <w:r>
        <w:rPr>
          <w:rFonts w:ascii="Times New Roman" w:hAnsi="Times New Roman"/>
          <w:color w:val="000000"/>
          <w:sz w:val="22"/>
          <w:u w:val="single"/>
        </w:rPr>
        <w:t>Warranties of Consultant</w:t>
      </w:r>
      <w:r>
        <w:rPr>
          <w:rFonts w:ascii="Times New Roman" w:hAnsi="Times New Roman"/>
          <w:color w:val="000000"/>
          <w:sz w:val="22"/>
        </w:rPr>
        <w:t xml:space="preserve">. You represent to the Company that (i) with respect to any information, know-how, knowledge or data disclosed by you to the Company in the performance of this Consulting Agreement, you have the full and unrestricted right to disclose the same; and (ii) you are free to undertake the services required by this Agreement, and there is, and shall be, </w:t>
      </w:r>
      <w:r>
        <w:rPr>
          <w:rFonts w:ascii="Times New Roman" w:hAnsi="Times New Roman"/>
          <w:color w:val="221F1F"/>
          <w:sz w:val="22"/>
        </w:rPr>
        <w:t>no conflict of interest between your performance of this Consulting Agreement and any obligation you may have to other parties</w:t>
      </w:r>
      <w:r>
        <w:rPr>
          <w:rFonts w:ascii="Times New Roman" w:hAnsi="Times New Roman"/>
          <w:color w:val="000000"/>
          <w:sz w:val="22"/>
        </w:rPr>
        <w:t>.</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8.</w:t>
      </w:r>
    </w:p>
    <w:p>
      <w:pPr>
        <w:pStyle w:val="TextBody"/>
        <w:bidi w:val="0"/>
        <w:spacing w:before="0" w:after="240"/>
        <w:jc w:val="left"/>
        <w:rPr/>
      </w:pPr>
      <w:r>
        <w:rPr>
          <w:rFonts w:ascii="Times New Roman" w:hAnsi="Times New Roman"/>
          <w:color w:val="000000"/>
          <w:sz w:val="22"/>
          <w:u w:val="single"/>
        </w:rPr>
        <w:t>Indemnification</w:t>
      </w:r>
      <w:r>
        <w:rPr>
          <w:rFonts w:ascii="Times New Roman" w:hAnsi="Times New Roman"/>
          <w:color w:val="000000"/>
          <w:sz w:val="22"/>
        </w:rPr>
        <w:t>. You shall indemnify and hold the Company, its affiliates and their respective directors, officers, agents and employees harmless from and against all claims, demands, losses, damages and judgments, including court costs and attorneys’ fees, arising out of or based upon any breach or alleged breach by you of any obligation set forth in this Consulting Agreement, or your gross negligence or willful misconduct. You further agree to indemnify the Company and hold it harmless to the extent of any obligation imposed on the Company (i) to pay withholding taxes or any other applicable taxes or (ii) otherwise resulting from you being determined not to be an independent contractor. The Company shall indemnify, defend, and hold harmless the Consultant from and against any and all claims, demands, losses, damages, liabilities, judgments, penalties, costs, and expenses (including reasonable attorneys’ fees) arising out of or resulting from (A) any material breach or alleged material breach by the Company of this Consulting Agreement, or (B) the Company’s gross negligence or willful misconduct. For the avoidance of doubt, Section 12 of the Employment Agreement (the “</w:t>
      </w:r>
      <w:r>
        <w:rPr>
          <w:rFonts w:ascii="Times New Roman" w:hAnsi="Times New Roman"/>
          <w:color w:val="000000"/>
          <w:sz w:val="22"/>
          <w:u w:val="single"/>
        </w:rPr>
        <w:t>Indemnification</w:t>
      </w:r>
      <w:r>
        <w:rPr>
          <w:color w:val="000000"/>
        </w:rPr>
        <w:t>”</w:t>
      </w:r>
      <w:r>
        <w:rPr>
          <w:rFonts w:ascii="Times New Roman" w:hAnsi="Times New Roman"/>
          <w:color w:val="000000"/>
          <w:sz w:val="22"/>
        </w:rPr>
        <w:t>) shall remain in full force and effect for any act or omission performed or omitted by you in connection with the Company’s business or affairs prior to the Termination Date, and is incorporated by reference herein.</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9.</w:t>
      </w:r>
    </w:p>
    <w:p>
      <w:pPr>
        <w:pStyle w:val="TextBody"/>
        <w:bidi w:val="0"/>
        <w:spacing w:before="0" w:after="240"/>
        <w:jc w:val="left"/>
        <w:rPr/>
      </w:pPr>
      <w:r>
        <w:rPr>
          <w:rFonts w:ascii="Times New Roman" w:hAnsi="Times New Roman"/>
          <w:color w:val="000000"/>
          <w:sz w:val="22"/>
          <w:u w:val="single"/>
        </w:rPr>
        <w:t>Entire Agreement; Jurisdiction; Governing Law; Interpretation</w:t>
      </w:r>
      <w:r>
        <w:rPr>
          <w:rFonts w:ascii="Times New Roman" w:hAnsi="Times New Roman"/>
          <w:color w:val="000000"/>
          <w:sz w:val="22"/>
        </w:rPr>
        <w:t xml:space="preserve">. This Consulting Agreement, Ongoing Obligations, and the Indemnification constitute the entire agreement between you and the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Company with respect to the matters contained herein, and supersede all proposals and agreements, written or oral, and all other communications between you and the Company relating to the subject matter of this Consulting Agreement, including, without limitation, the Prior Agreement, the Offer Letter (other than with respect to the Ongoing Obligations), the Employment Agreement (other than with respect to the Ongoing Obligations and the Indemnification), and the Company’s Executive Severance Plan (and your Participation Agreement thereunder). For the avoidance of doubt, upon execution of this Consulting Agreement, the Prior Agreement shall be of no further force or effect. You and the Company hereby agree that the state and federal courts of Massachusetts shall have the exclusive jurisdiction to consider any matters related to this Consulting Agreement. This Consulting Agreement shall be interpreted and enforced under the laws of the Commonwealth of Massachusetts, without regard to conflict of law principles. This Consulting Agreement may not be modified or amended except in writing signed or executed by you and the Company. In case any provisions (or portions thereof) contained in this Consulting Agreement will, for any reason, be held invalid, illegal or unenforceable in any respect, such invalidity, illegality or unenforceability will not affect the other provisions of this Consulting Agreement, and this Consulting Agreement will be construed as if such invalid, illegal or unenforceable provision had never been contained herein.</w:t>
      </w:r>
    </w:p>
    <w:p>
      <w:pPr>
        <w:pStyle w:val="TextBody"/>
        <w:bidi w:val="0"/>
        <w:spacing w:before="0" w:after="240"/>
        <w:ind w:left="0" w:right="0" w:firstLine="360"/>
        <w:jc w:val="left"/>
        <w:rPr>
          <w:rFonts w:ascii="Times New Roman" w:hAnsi="Times New Roman"/>
          <w:color w:val="010000"/>
          <w:sz w:val="22"/>
        </w:rPr>
      </w:pPr>
      <w:r>
        <w:rPr>
          <w:rFonts w:ascii="Times New Roman" w:hAnsi="Times New Roman"/>
          <w:color w:val="010000"/>
          <w:sz w:val="22"/>
        </w:rPr>
        <w:t>10.</w:t>
      </w:r>
    </w:p>
    <w:p>
      <w:pPr>
        <w:pStyle w:val="TextBody"/>
        <w:bidi w:val="0"/>
        <w:spacing w:before="0" w:after="240"/>
        <w:jc w:val="left"/>
        <w:rPr/>
      </w:pPr>
      <w:r>
        <w:rPr>
          <w:rFonts w:ascii="Times New Roman" w:hAnsi="Times New Roman"/>
          <w:color w:val="000000"/>
          <w:sz w:val="22"/>
          <w:u w:val="single"/>
        </w:rPr>
        <w:t>Effective Date</w:t>
      </w:r>
      <w:r>
        <w:rPr>
          <w:rFonts w:ascii="Times New Roman" w:hAnsi="Times New Roman"/>
          <w:color w:val="000000"/>
          <w:sz w:val="22"/>
        </w:rPr>
        <w:t>. To accept this Consulting Agreement, you must return a signed original or a signed PDF copy of this Consulting Agreement so that it is received by the General Counsel of the Company by 11:59 PM EST on May 1, 2026. This Consulting Agreement shall become effective on the day it becomes fully executed.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Please indicate your agreement to the terms of this Consulting Agreement by signing and returning to the Chief Executive Officer the original or a PDF copy of this Consulting Agreement within the time period set forth above.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Sincerely,</w:t>
      </w:r>
    </w:p>
    <w:p>
      <w:pPr>
        <w:pStyle w:val="TextBody"/>
        <w:bidi w:val="0"/>
        <w:spacing w:before="0" w:after="600"/>
        <w:jc w:val="left"/>
        <w:rPr>
          <w:rFonts w:ascii="Times New Roman" w:hAnsi="Times New Roman"/>
          <w:color w:val="000000"/>
          <w:sz w:val="22"/>
        </w:rPr>
      </w:pPr>
      <w:r>
        <w:rPr>
          <w:rFonts w:ascii="Times New Roman" w:hAnsi="Times New Roman"/>
          <w:color w:val="000000"/>
          <w:sz w:val="22"/>
        </w:rPr>
        <w:t>AURA BIOSCIENCES, INC.</w:t>
      </w:r>
    </w:p>
    <w:p>
      <w:pPr>
        <w:pStyle w:val="TextBody"/>
        <w:pBdr/>
        <w:bidi w:val="0"/>
        <w:spacing w:before="0" w:after="240"/>
        <w:ind w:left="0" w:right="0" w:hanging="72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Dave Johnson</w:t>
      </w:r>
      <w:r>
        <w:rPr>
          <w:rFonts w:ascii="Times New Roman" w:hAnsi="Times New Roman"/>
          <w:color w:val="000000"/>
          <w:sz w:val="20"/>
          <w:u w:val="single"/>
        </w:rPr>
        <w:t xml:space="preserve"> </w:t>
      </w:r>
      <w:r>
        <w:rPr>
          <w:rFonts w:ascii="Times New Roman" w:hAnsi="Times New Roman"/>
          <w:color w:val="000000"/>
          <w:sz w:val="22"/>
          <w:u w:val="single"/>
        </w:rPr>
        <w:br/>
      </w:r>
      <w:r>
        <w:rPr>
          <w:rFonts w:ascii="Times New Roman" w:hAnsi="Times New Roman"/>
          <w:color w:val="221F1F"/>
          <w:sz w:val="22"/>
        </w:rPr>
        <w:t>Name: Dave Johnson</w:t>
        <w:br/>
        <w:br/>
        <w:t>Its: Chairman of the Board of Directors</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agree to the terms of this Consulting Agreement.</w:t>
      </w:r>
    </w:p>
    <w:tbl>
      <w:tblPr>
        <w:tblW w:w="3362" w:type="dxa"/>
        <w:jc w:val="left"/>
        <w:tblInd w:w="0" w:type="dxa"/>
        <w:tblLayout w:type="fixed"/>
        <w:tblCellMar>
          <w:top w:w="28" w:type="dxa"/>
          <w:left w:w="28" w:type="dxa"/>
          <w:bottom w:w="28" w:type="dxa"/>
          <w:right w:w="28" w:type="dxa"/>
        </w:tblCellMar>
      </w:tblPr>
      <w:tblGrid>
        <w:gridCol w:w="2311"/>
        <w:gridCol w:w="1051"/>
      </w:tblGrid>
      <w:tr>
        <w:trPr/>
        <w:tc>
          <w:tcPr>
            <w:tcW w:w="23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color w:val="000000"/>
                <w:sz w:val="22"/>
                <w:u w:val="single"/>
              </w:rPr>
            </w:pPr>
            <w:r>
              <w:rPr>
                <w:rFonts w:ascii="Times New Roman" w:hAnsi="Times New Roman"/>
                <w:color w:val="000000"/>
                <w:sz w:val="22"/>
                <w:u w:val="single"/>
              </w:rPr>
              <w:t>/s/ Elisabet de los Pinos</w:t>
            </w:r>
          </w:p>
        </w:tc>
        <w:tc>
          <w:tcPr>
            <w:tcW w:w="105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sz w:val="22"/>
              </w:rPr>
            </w:pPr>
            <w:r>
              <w:rPr>
                <w:rFonts w:ascii="Times New Roman" w:hAnsi="Times New Roman"/>
                <w:color w:val="000000"/>
                <w:sz w:val="22"/>
                <w:u w:val="single"/>
              </w:rPr>
              <w:t>5/1/2026</w:t>
            </w:r>
            <w:r>
              <w:rPr>
                <w:rFonts w:ascii="Times New Roman" w:hAnsi="Times New Roman"/>
                <w:color w:val="000000"/>
                <w:sz w:val="22"/>
              </w:rPr>
              <w:t xml:space="preserve">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Elisabet de los Pinos</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8" w:name="aura-ex10_3.htm"/>
      <w:bookmarkStart w:id="29" w:name="ksauraex10_3"/>
      <w:bookmarkEnd w:id="28"/>
      <w:bookmarkEnd w:id="29"/>
      <w:r>
        <w:rPr>
          <w:rFonts w:ascii="Times New Roman" w:hAnsi="Times New Roman"/>
          <w:b/>
          <w:color w:val="000000"/>
          <w:sz w:val="22"/>
        </w:rPr>
        <w:t>Exhibit 10.3</w:t>
      </w:r>
      <w:r>
        <w:br w:type="page"/>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April 30, 2026</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PERSONAL AND CONFIDENTIAL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Elisabet de los Pinos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Re: </w:t>
      </w:r>
      <w:r>
        <w:rPr>
          <w:rFonts w:ascii="Times New Roman" w:hAnsi="Times New Roman"/>
          <w:color w:val="000000"/>
          <w:sz w:val="22"/>
          <w:u w:val="single"/>
        </w:rPr>
        <w:t>Separation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Dear Ms. de los Pinos:</w:t>
      </w:r>
    </w:p>
    <w:p>
      <w:pPr>
        <w:pStyle w:val="TextBody"/>
        <w:bidi w:val="0"/>
        <w:spacing w:before="0" w:after="240"/>
        <w:jc w:val="left"/>
        <w:rPr>
          <w:rFonts w:ascii="Times New Roman" w:hAnsi="Times New Roman"/>
          <w:sz w:val="20"/>
        </w:rPr>
      </w:pPr>
      <w:r>
        <w:rPr>
          <w:rFonts w:ascii="Times New Roman" w:hAnsi="Times New Roman"/>
          <w:color w:val="000000"/>
          <w:sz w:val="22"/>
        </w:rPr>
        <w:t>This letter confirms the termination of your employment with Aura Biosciences,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effective April 30, 2026 (the “</w:t>
      </w:r>
      <w:r>
        <w:rPr>
          <w:rFonts w:ascii="Times New Roman" w:hAnsi="Times New Roman"/>
          <w:color w:val="000000"/>
          <w:sz w:val="22"/>
          <w:u w:val="single"/>
        </w:rPr>
        <w:t>Separation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If you enter into, do not revoke, and comply with this separation agreement (the “</w:t>
      </w:r>
      <w:r>
        <w:rPr>
          <w:rFonts w:ascii="Times New Roman" w:hAnsi="Times New Roman"/>
          <w:color w:val="000000"/>
          <w:sz w:val="22"/>
          <w:u w:val="single"/>
        </w:rPr>
        <w:t>Release Agreement</w:t>
      </w:r>
      <w:r>
        <w:rPr>
          <w:rFonts w:ascii="Times New Roman" w:hAnsi="Times New Roman"/>
          <w:color w:val="000000"/>
          <w:sz w:val="20"/>
        </w:rPr>
        <w:t>”</w:t>
      </w:r>
      <w:r>
        <w:rPr>
          <w:rFonts w:ascii="Times New Roman" w:hAnsi="Times New Roman"/>
          <w:color w:val="000000"/>
          <w:sz w:val="22"/>
        </w:rPr>
        <w:t>), the Company will provide you with the opportunity to receive the severance benefits outlined in this Release Agreement, which you agree shall supersede the severance benefits set forth in your Offer of</w:t>
      </w:r>
    </w:p>
    <w:p>
      <w:pPr>
        <w:pStyle w:val="TextBody"/>
        <w:bidi w:val="0"/>
        <w:spacing w:before="0" w:after="240"/>
        <w:jc w:val="left"/>
        <w:rPr>
          <w:rFonts w:ascii="Times New Roman" w:hAnsi="Times New Roman"/>
          <w:sz w:val="20"/>
        </w:rPr>
      </w:pPr>
      <w:r>
        <w:rPr>
          <w:rFonts w:ascii="Times New Roman" w:hAnsi="Times New Roman"/>
          <w:color w:val="000000"/>
          <w:sz w:val="22"/>
        </w:rPr>
        <w:t>Employment dated January 22, 2010 (the “</w:t>
      </w:r>
      <w:r>
        <w:rPr>
          <w:rFonts w:ascii="Times New Roman" w:hAnsi="Times New Roman"/>
          <w:color w:val="000000"/>
          <w:sz w:val="22"/>
          <w:u w:val="single"/>
        </w:rPr>
        <w:t>Offer Letter</w:t>
      </w:r>
      <w:r>
        <w:rPr>
          <w:rFonts w:ascii="Times New Roman" w:hAnsi="Times New Roman"/>
          <w:color w:val="000000"/>
          <w:sz w:val="20"/>
        </w:rPr>
        <w:t>”</w:t>
      </w:r>
      <w:r>
        <w:rPr>
          <w:rFonts w:ascii="Times New Roman" w:hAnsi="Times New Roman"/>
          <w:color w:val="000000"/>
          <w:sz w:val="22"/>
        </w:rPr>
        <w:t>), the Employment Agreement dated January 1, 2015, as amended on October 13, 2017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and the Company’s Executive Severance Plan (including your Participation Agreement thereunder, the “</w:t>
      </w:r>
      <w:r>
        <w:rPr>
          <w:rFonts w:ascii="Times New Roman" w:hAnsi="Times New Roman"/>
          <w:color w:val="000000"/>
          <w:sz w:val="22"/>
          <w:u w:val="single"/>
        </w:rPr>
        <w:t>Severance Plan</w:t>
      </w:r>
      <w:r>
        <w:rPr>
          <w:rFonts w:ascii="Times New Roman" w:hAnsi="Times New Roman"/>
          <w:color w:val="000000"/>
          <w:sz w:val="20"/>
        </w:rPr>
        <w:t>”</w:t>
      </w:r>
      <w:r>
        <w:rPr>
          <w:rFonts w:ascii="Times New Roman" w:hAnsi="Times New Roman"/>
          <w:color w:val="000000"/>
          <w:sz w:val="22"/>
        </w:rPr>
        <w:t>). You and the Company agree that all notice provisions in Section 9 of the Employment Agreement have been fully satisfied.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those understandings and regardless of whether you enter into the Release Agreement, the following bulleted terms and conditions apply in connection with the ending of your employment:</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shall pay you salary, any accrued but unused vacation, and unpaid and properly documented business expenses accrued to you through the Separation Date.</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color w:val="000000"/>
          <w:sz w:val="22"/>
        </w:rPr>
        <w:t>Your eligibility to participate in the Company’s group health plans as an active employee will end in accordance with the terms and conditions of the health plans on April 30, 2026. The Company shall provide you with the opportunity to continue group health coverage at your own expense under the law known as “</w:t>
      </w:r>
      <w:r>
        <w:rPr>
          <w:rFonts w:ascii="Times New Roman" w:hAnsi="Times New Roman"/>
          <w:color w:val="000000"/>
          <w:sz w:val="22"/>
          <w:u w:val="single"/>
        </w:rPr>
        <w:t>COBRA</w:t>
      </w:r>
      <w:r>
        <w:rPr>
          <w:color w:val="000000"/>
        </w:rPr>
        <w:t>”</w:t>
      </w:r>
      <w:r>
        <w:rPr>
          <w:rFonts w:ascii="Times New Roman" w:hAnsi="Times New Roman"/>
          <w:color w:val="000000"/>
          <w:sz w:val="22"/>
        </w:rPr>
        <w:t>, subject to your COBRA eligibility as applicable. You will be notified by separate memoranda of your rights under COBRA. The COBRA benefits offered by the Company to you will include health insurance, dental insurance and vision insurance at the same level as currently offered to employees of the Company.</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Your eligibility to participate in the Company’s other employee benefit plans and programs will cease in accordance with the terms and conditions of each of those benefit plans and programs. Your rights to benefits, if any, are governed by the terms and conditions of those benefit plans and programs; provided, however, the below Release Agreement shall supersede any rights to benefits under the Offer Letter, Employment Agreement, or the Severance Plan.</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connection with the ending of your employment, you hereby (i) resign from your status as an employee, officer, director or other positions you occupy at the Company and resign from your status as an employee, officer, director or other positions you occupy at any subsidiary of the Company, in each case, effective as of the Separation Date and (ii) agree to execute such documentation as the Company reasonably requires to effectuate such resignations.</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You are subject to continuing obligations under Sections 6 and 7 of the Employment Agreement, the Consulting Agreement, this Release Agreement, and any other confidentiality and restrictive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360" w:right="0" w:hanging="0"/>
        <w:jc w:val="left"/>
        <w:rPr/>
      </w:pPr>
      <w:r>
        <w:rPr>
          <w:rFonts w:ascii="Times New Roman" w:hAnsi="Times New Roman"/>
          <w:color w:val="000000"/>
          <w:sz w:val="22"/>
        </w:rPr>
        <w:t>covenant obligations you have to any of the Releasees (as defined below) (collectively, the “</w:t>
      </w:r>
      <w:r>
        <w:rPr>
          <w:rFonts w:ascii="Times New Roman" w:hAnsi="Times New Roman"/>
          <w:color w:val="000000"/>
          <w:sz w:val="22"/>
          <w:u w:val="single"/>
        </w:rPr>
        <w:t>Ongoing Obligations</w:t>
      </w:r>
      <w:r>
        <w:rPr>
          <w:color w:val="000000"/>
        </w:rPr>
        <w:t>”</w:t>
      </w:r>
      <w:r>
        <w:rPr>
          <w:rFonts w:ascii="Times New Roman" w:hAnsi="Times New Roman"/>
          <w:color w:val="000000"/>
          <w:sz w:val="22"/>
        </w:rPr>
        <w:t>). The Ongoing Obligations remain in full force and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remainder of this letter proposes the Release Agreement between you and the Company. You and the Company agree as follows:</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Separation Date and Consulting Agreement</w:t>
      </w:r>
    </w:p>
    <w:p>
      <w:pPr>
        <w:pStyle w:val="TextBody"/>
        <w:bidi w:val="0"/>
        <w:spacing w:before="0" w:after="240"/>
        <w:jc w:val="left"/>
        <w:rPr>
          <w:rFonts w:ascii="Times New Roman" w:hAnsi="Times New Roman"/>
          <w:sz w:val="20"/>
        </w:rPr>
      </w:pPr>
      <w:r>
        <w:rPr>
          <w:rFonts w:ascii="Times New Roman" w:hAnsi="Times New Roman"/>
          <w:color w:val="000000"/>
          <w:sz w:val="22"/>
        </w:rPr>
        <w:t>Your employment with the Company shall terminate, effective as of the Separation Date. Following the Separation Date, you will immediately transition into an advisory role in which you provide certain advisory and transitional services to the Company, subject to the terms of a Consulting Agreement (the “</w:t>
      </w:r>
      <w:r>
        <w:rPr>
          <w:rFonts w:ascii="Times New Roman" w:hAnsi="Times New Roman"/>
          <w:color w:val="000000"/>
          <w:sz w:val="22"/>
          <w:u w:val="single"/>
        </w:rPr>
        <w:t>Consulting Agreement</w:t>
      </w:r>
      <w:r>
        <w:rPr>
          <w:rFonts w:ascii="Times New Roman" w:hAnsi="Times New Roman"/>
          <w:color w:val="000000"/>
          <w:sz w:val="20"/>
        </w:rPr>
        <w:t>”</w:t>
      </w:r>
      <w:r>
        <w:rPr>
          <w:rFonts w:ascii="Times New Roman" w:hAnsi="Times New Roman"/>
          <w:color w:val="000000"/>
          <w:sz w:val="22"/>
        </w:rPr>
        <w:t>), attached hereto as Exhibit A.</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2.</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Severance Benefits</w:t>
      </w:r>
    </w:p>
    <w:p>
      <w:pPr>
        <w:pStyle w:val="TextBody"/>
        <w:bidi w:val="0"/>
        <w:spacing w:before="0" w:after="240"/>
        <w:jc w:val="left"/>
        <w:rPr>
          <w:rFonts w:ascii="Times New Roman" w:hAnsi="Times New Roman"/>
          <w:sz w:val="20"/>
        </w:rPr>
      </w:pPr>
      <w:r>
        <w:rPr>
          <w:rFonts w:ascii="Times New Roman" w:hAnsi="Times New Roman"/>
          <w:color w:val="000000"/>
          <w:sz w:val="22"/>
        </w:rPr>
        <w:t>Provided you enter into, do not revoke and comply with this Release Agreement, the Company shall provide you with the below “</w:t>
      </w:r>
      <w:r>
        <w:rPr>
          <w:rFonts w:ascii="Times New Roman" w:hAnsi="Times New Roman"/>
          <w:color w:val="000000"/>
          <w:sz w:val="22"/>
          <w:u w:val="single"/>
        </w:rPr>
        <w:t>Severance Benefits</w:t>
      </w:r>
      <w:r>
        <w:rPr>
          <w:rFonts w:ascii="Times New Roman" w:hAnsi="Times New Roman"/>
          <w:color w:val="000000"/>
          <w:sz w:val="22"/>
        </w:rPr>
        <w:t>.”</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left"/>
        <w:rPr/>
      </w:pPr>
      <w:r>
        <w:rPr>
          <w:rFonts w:ascii="Times New Roman" w:hAnsi="Times New Roman"/>
          <w:color w:val="000000"/>
          <w:sz w:val="22"/>
          <w:u w:val="single"/>
        </w:rPr>
        <w:t>Severance Pay</w:t>
      </w:r>
      <w:r>
        <w:rPr>
          <w:rFonts w:ascii="Times New Roman" w:hAnsi="Times New Roman"/>
          <w:color w:val="000000"/>
          <w:sz w:val="22"/>
        </w:rPr>
        <w:t>: The Company shall pay you severance pay (“</w:t>
      </w:r>
      <w:r>
        <w:rPr>
          <w:rFonts w:ascii="Times New Roman" w:hAnsi="Times New Roman"/>
          <w:color w:val="000000"/>
          <w:sz w:val="22"/>
          <w:u w:val="single"/>
        </w:rPr>
        <w:t>Severance Pay</w:t>
      </w:r>
      <w:r>
        <w:rPr>
          <w:color w:val="000000"/>
        </w:rPr>
        <w:t>”</w:t>
      </w:r>
      <w:r>
        <w:rPr>
          <w:rFonts w:ascii="Times New Roman" w:hAnsi="Times New Roman"/>
          <w:color w:val="000000"/>
          <w:sz w:val="22"/>
        </w:rPr>
        <w:t>) by continuing your base salary effective for the twelve (12) month period immediately following the Separation Date (the “</w:t>
      </w:r>
      <w:r>
        <w:rPr>
          <w:rFonts w:ascii="Times New Roman" w:hAnsi="Times New Roman"/>
          <w:color w:val="000000"/>
          <w:sz w:val="22"/>
          <w:u w:val="single"/>
        </w:rPr>
        <w:t>Severance Pay Period</w:t>
      </w:r>
      <w:r>
        <w:rPr>
          <w:color w:val="000000"/>
        </w:rPr>
        <w:t>”</w:t>
      </w:r>
      <w:r>
        <w:rPr>
          <w:rFonts w:ascii="Times New Roman" w:hAnsi="Times New Roman"/>
          <w:color w:val="000000"/>
          <w:sz w:val="22"/>
        </w:rPr>
        <w:t>). The Company shall pay you Severance Pay in installments on its regular payroll dates during the Severance Pay Period; provided that the Company shall not be obligated to pay any Severance Pay before the Effective Date (as defined below). If the Company does not make one or more payments of Severance Pay on a regular payroll date because this Release Agreement has not yet become effective, the Company shall make all such delayed payments by the first payroll date when it is practicable to do so after the Effective Date.</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left"/>
        <w:rPr/>
      </w:pPr>
      <w:r>
        <w:rPr>
          <w:rFonts w:ascii="Times New Roman" w:hAnsi="Times New Roman"/>
          <w:color w:val="000000"/>
          <w:sz w:val="22"/>
          <w:u w:val="single"/>
        </w:rPr>
        <w:t>Health Benefits</w:t>
      </w:r>
      <w:r>
        <w:rPr>
          <w:rFonts w:ascii="Times New Roman" w:hAnsi="Times New Roman"/>
          <w:color w:val="000000"/>
          <w:sz w:val="22"/>
        </w:rPr>
        <w:t>: If you elect COBRA continuation coverage, the Company shall pay the same portion of COBRA premiums that the Company pays for its active employees for the same level of group healthcare coverage as in effect for you on the Separation Date until the earliest of the following: (i) the end of the eighteen (18) month period immediately following the Separation Date (the “</w:t>
      </w:r>
      <w:r>
        <w:rPr>
          <w:rFonts w:ascii="Times New Roman" w:hAnsi="Times New Roman"/>
          <w:color w:val="000000"/>
          <w:sz w:val="22"/>
          <w:u w:val="single"/>
        </w:rPr>
        <w:t>COBRA</w:t>
      </w:r>
      <w:r>
        <w:rPr>
          <w:color w:val="000000"/>
        </w:rPr>
        <w:t xml:space="preserve"> </w:t>
      </w:r>
      <w:r>
        <w:rPr>
          <w:rFonts w:ascii="Times New Roman" w:hAnsi="Times New Roman"/>
          <w:color w:val="000000"/>
          <w:sz w:val="22"/>
          <w:u w:val="single"/>
        </w:rPr>
        <w:t>Period</w:t>
      </w:r>
      <w:r>
        <w:rPr>
          <w:color w:val="000000"/>
        </w:rPr>
        <w:t>”</w:t>
      </w:r>
      <w:r>
        <w:rPr>
          <w:rFonts w:ascii="Times New Roman" w:hAnsi="Times New Roman"/>
          <w:color w:val="000000"/>
          <w:sz w:val="22"/>
        </w:rPr>
        <w:t>); (ii) your eligibility for group medical care coverage through other employment; or (iii) the end of your eligibility under COBRA for continuation coverage for health care. You agree to notify the Company promptly if you become eligible for group medical care coverage through another employer. You also agree to respond promptly and fully to any reasonable requests for information by the Company concerning your eligibility for such coverage. Notwithstanding the foregoing, if the Company determines at any time that its payments pursuant to this paragraph may be taxable income to you, it may convert such payments to payroll payments directly to you on the Company’s regular payroll dates, which shall be subject to tax-related deductions and withholdings.</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left"/>
        <w:rPr/>
      </w:pPr>
      <w:r>
        <w:rPr>
          <w:rFonts w:ascii="Times New Roman" w:hAnsi="Times New Roman"/>
          <w:color w:val="000000"/>
          <w:sz w:val="22"/>
          <w:u w:val="single"/>
        </w:rPr>
        <w:t>2026 Bonus</w:t>
      </w:r>
      <w:r>
        <w:rPr>
          <w:rFonts w:ascii="Times New Roman" w:hAnsi="Times New Roman"/>
          <w:color w:val="000000"/>
          <w:sz w:val="22"/>
        </w:rPr>
        <w:t>. The Company will pay you a bonus for the year 2026, which shall be calculated based on the greater of (i) the Company’s achievement of goals and objectives approved by the Board, and (ii) your target annual cash incentive compensation, and prorated based on the number of days you were employed by the Company during the year 2026 up to and including the Separation Date (the “</w:t>
      </w:r>
      <w:r>
        <w:rPr>
          <w:rFonts w:ascii="Times New Roman" w:hAnsi="Times New Roman"/>
          <w:color w:val="000000"/>
          <w:sz w:val="22"/>
          <w:u w:val="single"/>
        </w:rPr>
        <w:t>Bonus</w:t>
      </w:r>
      <w:r>
        <w:rPr>
          <w:color w:val="000000"/>
        </w:rPr>
        <w:t>”</w:t>
      </w:r>
      <w:r>
        <w:rPr>
          <w:rFonts w:ascii="Times New Roman" w:hAnsi="Times New Roman"/>
          <w:color w:val="000000"/>
          <w:sz w:val="22"/>
        </w:rPr>
        <w:t>). The Bonus shall be less taxes and withholdings and shall be paid at the same time as the Company pays bonuses to its executives, but in no event later than March 15, 2027.</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left"/>
        <w:rPr/>
      </w:pPr>
      <w:r>
        <w:rPr>
          <w:rFonts w:ascii="Times New Roman" w:hAnsi="Times New Roman"/>
          <w:color w:val="000000"/>
          <w:sz w:val="22"/>
          <w:u w:val="single"/>
        </w:rPr>
        <w:t>Tax Treatment</w:t>
      </w:r>
      <w:r>
        <w:rPr>
          <w:rFonts w:ascii="Times New Roman" w:hAnsi="Times New Roman"/>
          <w:color w:val="000000"/>
          <w:sz w:val="22"/>
        </w:rPr>
        <w:t xml:space="preserve">. The Company shall make deductions, withholdings and tax reports with respect to payments and benefits under this Release Agreement that it reasonably determines to be required. Payments under this Release Agreement shall be in amounts net of any such deductions or withholdings. Nothing in this Release Agreement shall be construed to require the Company to make any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payments to compensate you for any adverse tax effect associated with any payments or benefits or for any deduction or withholding from any payment or benefit.</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3.</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Equity</w:t>
      </w:r>
    </w:p>
    <w:p>
      <w:pPr>
        <w:pStyle w:val="TextBody"/>
        <w:bidi w:val="0"/>
        <w:spacing w:before="0" w:after="240"/>
        <w:jc w:val="left"/>
        <w:rPr>
          <w:rFonts w:ascii="Times New Roman" w:hAnsi="Times New Roman"/>
          <w:sz w:val="20"/>
        </w:rPr>
      </w:pPr>
      <w:r>
        <w:rPr>
          <w:rFonts w:ascii="Times New Roman" w:hAnsi="Times New Roman"/>
          <w:color w:val="000000"/>
          <w:sz w:val="22"/>
        </w:rPr>
        <w:t>During the course of your employment, you were awarded a total of 839,049 Restricted Stock Units (the “</w:t>
      </w:r>
      <w:r>
        <w:rPr>
          <w:rFonts w:ascii="Times New Roman" w:hAnsi="Times New Roman"/>
          <w:color w:val="000000"/>
          <w:sz w:val="22"/>
          <w:u w:val="single"/>
        </w:rPr>
        <w:t>Award</w:t>
      </w:r>
      <w:r>
        <w:rPr>
          <w:rFonts w:ascii="Times New Roman" w:hAnsi="Times New Roman"/>
          <w:color w:val="000000"/>
          <w:sz w:val="20"/>
        </w:rPr>
        <w:t>”</w:t>
      </w:r>
      <w:r>
        <w:rPr>
          <w:rFonts w:ascii="Times New Roman" w:hAnsi="Times New Roman"/>
          <w:color w:val="000000"/>
          <w:sz w:val="22"/>
        </w:rPr>
        <w:t>) and stock options to purchase 2,544,748 shares of the Company’s common stock (the “</w:t>
      </w:r>
      <w:r>
        <w:rPr>
          <w:rFonts w:ascii="Times New Roman" w:hAnsi="Times New Roman"/>
          <w:color w:val="000000"/>
          <w:sz w:val="22"/>
          <w:u w:val="single"/>
        </w:rPr>
        <w:t>Option</w:t>
      </w:r>
      <w:r>
        <w:rPr>
          <w:rFonts w:ascii="Times New Roman" w:hAnsi="Times New Roman"/>
          <w:color w:val="000000"/>
          <w:sz w:val="20"/>
        </w:rPr>
        <w:t>”</w:t>
      </w:r>
      <w:r>
        <w:rPr>
          <w:rFonts w:ascii="Times New Roman" w:hAnsi="Times New Roman"/>
          <w:color w:val="000000"/>
          <w:sz w:val="22"/>
        </w:rPr>
        <w:t>), in each case under the Company’s 2009 Amended and Restated Stock Option and Restricted Stock Plan, 2018 Equity Incentive Plan and 2021 Stock Option and Incentive Plan and associated restricted stock unit award agreements and stock option agreements (collectively, the “</w:t>
      </w:r>
      <w:r>
        <w:rPr>
          <w:rFonts w:ascii="Times New Roman" w:hAnsi="Times New Roman"/>
          <w:color w:val="000000"/>
          <w:sz w:val="22"/>
          <w:u w:val="single"/>
        </w:rPr>
        <w:t>Equity</w:t>
      </w:r>
      <w:r>
        <w:rPr>
          <w:rFonts w:ascii="Times New Roman" w:hAnsi="Times New Roman"/>
          <w:color w:val="000000"/>
          <w:sz w:val="20"/>
        </w:rPr>
        <w:t xml:space="preserve"> </w:t>
      </w:r>
      <w:r>
        <w:rPr>
          <w:rFonts w:ascii="Times New Roman" w:hAnsi="Times New Roman"/>
          <w:color w:val="000000"/>
          <w:sz w:val="22"/>
          <w:u w:val="single"/>
        </w:rPr>
        <w:t>Documents</w:t>
      </w:r>
      <w:r>
        <w:rPr>
          <w:rFonts w:ascii="Times New Roman" w:hAnsi="Times New Roman"/>
          <w:color w:val="000000"/>
          <w:sz w:val="20"/>
        </w:rPr>
        <w:t>”</w:t>
      </w:r>
      <w:r>
        <w:rPr>
          <w:rFonts w:ascii="Times New Roman" w:hAnsi="Times New Roman"/>
          <w:color w:val="000000"/>
          <w:sz w:val="22"/>
        </w:rPr>
        <w:t>). As of the Separation Date, 415,374 Restricted Stock Units will have previously vested (all of which have been issued to you as shares) and 1,956,231 shares of the Option vested. As of the Separation Date, 52,512 of such vested Options were previously exercised by you. The remaining 423,675 Restricted Stock Units of the Award and 573,919 shares of the Option shall be unvested as of the Separation Date and shall become null and void as of such date, unless you enter into the Consulting Agreement under which your equity will continue to vest (as described below and in the Consulting Agreement). The vested and unexercised equity as of the Separation Date, along with any other equity that may vest during the Consulting Period (as described in the Consulting Agreement) is collectively referred to herein as the “</w:t>
      </w:r>
      <w:r>
        <w:rPr>
          <w:rFonts w:ascii="Times New Roman" w:hAnsi="Times New Roman"/>
          <w:color w:val="000000"/>
          <w:sz w:val="22"/>
          <w:u w:val="single"/>
        </w:rPr>
        <w:t>Vested Equity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Vested Equity shall continue to be subject to the terms and conditions of the Equity Documents, provided that you agree, effective as of the Separation Date, you shall have the opportunity to sell up to 300,000 shares of your Vested Equity during a two-week open trading window following the consummation of the next public offering or a private placement of the Company’s equity securities that occurs on or after the Separation Date, subject to (x) your not being in possession of material non-public information at the time of such sale and (y) your compliance with the Company’s Trading Policy (as defined below). In accordance with the Consulting Agreement, you are also eligible for continued vesting during the Consulting Period (as defined in the Consulting Agreement).</w:t>
      </w:r>
    </w:p>
    <w:p>
      <w:pPr>
        <w:pStyle w:val="TextBody"/>
        <w:bidi w:val="0"/>
        <w:spacing w:before="0" w:after="240"/>
        <w:jc w:val="left"/>
        <w:rPr>
          <w:rFonts w:ascii="Times New Roman" w:hAnsi="Times New Roman"/>
          <w:sz w:val="20"/>
        </w:rPr>
      </w:pPr>
      <w:r>
        <w:rPr>
          <w:rFonts w:ascii="Times New Roman" w:hAnsi="Times New Roman"/>
          <w:color w:val="000000"/>
          <w:sz w:val="22"/>
        </w:rPr>
        <w:t>For the avoidance of doubt, as provided in the Equity Documents, except in the event of disability, death or Cause, the post-service relationship exercise period for any vested equity shall not begin until after your service relationship with the Company has ended (i.e. after the Consulting Period ends), and your continued compliance with the terms and conditions of this Release Agreement, the Company shall extend the period during which you may exercise your vested shares underlying the Option (such shares, the “</w:t>
      </w:r>
      <w:r>
        <w:rPr>
          <w:rFonts w:ascii="Times New Roman" w:hAnsi="Times New Roman"/>
          <w:color w:val="000000"/>
          <w:sz w:val="22"/>
          <w:u w:val="single"/>
        </w:rPr>
        <w:t>Extended Options</w:t>
      </w:r>
      <w:r>
        <w:rPr>
          <w:rFonts w:ascii="Times New Roman" w:hAnsi="Times New Roman"/>
          <w:color w:val="000000"/>
          <w:sz w:val="20"/>
        </w:rPr>
        <w:t>”</w:t>
      </w:r>
      <w:r>
        <w:rPr>
          <w:rFonts w:ascii="Times New Roman" w:hAnsi="Times New Roman"/>
          <w:color w:val="000000"/>
          <w:sz w:val="22"/>
        </w:rPr>
        <w:t>) until the earlier of (i) June 30, 2028; or (ii) the end of the original option term. You expressly consent to such extension of the post-termination exercise period of the Extended Options and acknowledge that, to the extent such options were intended to be “incentive stock options” described in Section 422 of Internal Revenue Code, this extension may cause them to instead be subject to taxation as non-qualified stock options. For the avoidance of doubt, during the Consulting Period and thereafter as specified in the Company’s Amended and Restated Insider Trading Policy (the “</w:t>
      </w:r>
      <w:r>
        <w:rPr>
          <w:rFonts w:ascii="Times New Roman" w:hAnsi="Times New Roman"/>
          <w:color w:val="000000"/>
          <w:sz w:val="22"/>
          <w:u w:val="single"/>
        </w:rPr>
        <w:t>Trading Policy</w:t>
      </w:r>
      <w:r>
        <w:rPr>
          <w:rFonts w:ascii="Times New Roman" w:hAnsi="Times New Roman"/>
          <w:color w:val="000000"/>
          <w:sz w:val="20"/>
        </w:rPr>
        <w:t>”</w:t>
      </w:r>
      <w:r>
        <w:rPr>
          <w:rFonts w:ascii="Times New Roman" w:hAnsi="Times New Roman"/>
          <w:color w:val="000000"/>
          <w:sz w:val="22"/>
        </w:rPr>
        <w:t>), you shall at all times comply with the Trading Policy.</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4.</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Release of Claims</w:t>
      </w:r>
    </w:p>
    <w:p>
      <w:pPr>
        <w:pStyle w:val="TextBody"/>
        <w:bidi w:val="0"/>
        <w:spacing w:before="0" w:after="240"/>
        <w:jc w:val="left"/>
        <w:rPr>
          <w:rFonts w:ascii="Times New Roman" w:hAnsi="Times New Roman"/>
          <w:sz w:val="20"/>
        </w:rPr>
      </w:pPr>
      <w:r>
        <w:rPr>
          <w:rFonts w:ascii="Times New Roman" w:hAnsi="Times New Roman"/>
          <w:color w:val="000000"/>
          <w:sz w:val="22"/>
        </w:rPr>
        <w:t>In consideration for, among other terms, the opportunity to continue your service relationship with the Company pursuant to the Consulting Agreement and to receive the Severance Benefits, each of which you acknowledge you would otherwise not be entitled to, you voluntarily release and forever discharge the Company and its affiliated and related entities, their respective predecessors, successors and assigns, its and their respective employee benefit plans and fiduciaries of such plans, and the current and former officers, directors, managers, members, shareholders, employees, attorneys, accountants and agents of each of the foregoing in their official and personal capacities (collectively referred to as the “</w:t>
      </w:r>
      <w:r>
        <w:rPr>
          <w:rFonts w:ascii="Times New Roman" w:hAnsi="Times New Roman"/>
          <w:color w:val="000000"/>
          <w:sz w:val="22"/>
          <w:u w:val="single"/>
        </w:rPr>
        <w:t>Releasees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generally from all claims, demands, debts, damages and liabilities of every name and nature, known or unknown (“</w:t>
      </w:r>
      <w:r>
        <w:rPr>
          <w:rFonts w:ascii="Times New Roman" w:hAnsi="Times New Roman"/>
          <w:color w:val="000000"/>
          <w:sz w:val="22"/>
          <w:u w:val="single"/>
        </w:rPr>
        <w:t>Claims</w:t>
      </w:r>
      <w:r>
        <w:rPr>
          <w:rFonts w:ascii="Times New Roman" w:hAnsi="Times New Roman"/>
          <w:color w:val="000000"/>
          <w:sz w:val="20"/>
        </w:rPr>
        <w:t>”</w:t>
      </w:r>
      <w:r>
        <w:rPr>
          <w:rFonts w:ascii="Times New Roman" w:hAnsi="Times New Roman"/>
          <w:color w:val="000000"/>
          <w:sz w:val="22"/>
        </w:rPr>
        <w:t>) that, as of the date when you sign this Release Agreement, you have, ever had, now claim to have or ever claimed to have had against any or all of the Releasees. This release includes, without limitation, all Claims:</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relating to your employment by and termination of employment with the Company;</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relating to your Offer Letter, the Employment Agreement, or the Equity Documents;</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of wrongful discharge or violation of public policy;</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of breach of contract;</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pPr>
      <w:r>
        <w:rPr>
          <w:rFonts w:ascii="Times New Roman" w:hAnsi="Times New Roman"/>
          <w:color w:val="000000"/>
          <w:sz w:val="22"/>
        </w:rPr>
        <w:t xml:space="preserve">of retaliation or discrimination under federal, state or local law (including, without limitation, Claims of discrimination, retaliation or otherwise under the Americans with Disabilities Act, </w:t>
      </w:r>
      <w:r>
        <w:rPr>
          <w:rFonts w:ascii="Times New Roman" w:hAnsi="Times New Roman"/>
          <w:color w:val="1F1F1F"/>
          <w:sz w:val="22"/>
        </w:rPr>
        <w:t xml:space="preserve">the Age Discrimination in Employment Act (as amended by the as amended by the Older Workers Benefit Protection Act), </w:t>
      </w:r>
      <w:r>
        <w:rPr>
          <w:rFonts w:ascii="Times New Roman" w:hAnsi="Times New Roman"/>
          <w:color w:val="000000"/>
          <w:sz w:val="22"/>
        </w:rPr>
        <w:t>Title VII of the Civil Rights Act of 1964, and the Massachusetts Fair Employment Practices Act (M.G.L. c. 151B));</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under any other federal or state statute, including but not limited to the Massachusetts Earned Sick Time law, the Massachusetts Paid Family and Medical Leave law, and the Fair Labor Standards Act;</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wages, bonuses, incentive compensation, commissions, stock, stock options, vacation pay or any other compensation or benefits, whether under Massachusetts Wage Act, M.G.L. c. 149, §§148-150C, or otherwise; and</w:t>
      </w:r>
    </w:p>
    <w:p>
      <w:pPr>
        <w:pStyle w:val="TextBody"/>
        <w:bidi w:val="0"/>
        <w:spacing w:before="0" w:after="240"/>
        <w:ind w:left="360" w:right="0" w:hanging="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damages or other remedies of any sort, including, without limitation, compensatory damages, punitive damages, injunctive relief and attorney’s fees;</w:t>
      </w:r>
    </w:p>
    <w:p>
      <w:pPr>
        <w:pStyle w:val="TextBody"/>
        <w:bidi w:val="0"/>
        <w:spacing w:before="0" w:after="240"/>
        <w:jc w:val="left"/>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release shall not affect your rights under this Release Agreement or the Consulting Agreement or any rights that cannot be released under applicable law.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acknowledge and represent that, except as expressly provided in this Release Agreement, the Company has paid or provided all salary, wages, bonuses, accrued vacation/paid time off, premiums, leaves, severance, reimbursable expenses, commissions, stock, stock options, equity awards, vesting, and any and all other benefits and compensation due to you.</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Subject to Section 7 of this Release Agreement, you agree not to accept damages of any nature, other equitable or legal remedies for your own benefit or attorney’s fees or costs from any of the Releasees with respect to any Claim released by this Release Agreement. As a material inducement to the Company to enter into this Release Agreement, you represent that you have not assigned any Claim to any third party.</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5.</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Return of Property</w:t>
      </w:r>
    </w:p>
    <w:p>
      <w:pPr>
        <w:pStyle w:val="TextBody"/>
        <w:bidi w:val="0"/>
        <w:spacing w:before="0" w:after="240"/>
        <w:jc w:val="left"/>
        <w:rPr>
          <w:rFonts w:ascii="Times New Roman" w:hAnsi="Times New Roman"/>
          <w:sz w:val="20"/>
        </w:rPr>
      </w:pPr>
      <w:r>
        <w:rPr>
          <w:rFonts w:ascii="Times New Roman" w:hAnsi="Times New Roman"/>
          <w:color w:val="000000"/>
          <w:sz w:val="22"/>
        </w:rPr>
        <w:t>You agree to return to the Company by the Separation Date all credit cards and any documents (including electronic documents as well as hard copies) containing confidential or proprietary information concerning the Company, its business or its business relationships . You further agree to return to the Company by the Outside Date (as defined in the Consulting Agreement) any computer equipment, keys and access cards. You also commit to deleting and finally purging any duplicates of files or documents that may contain Company information from any computer or other device that remains your property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after the Outside Date. In the event that you discover that you continue to retain any such property, you shall return it to the Company immediately. For the avoidance of doubt, throughout the term of the Consulting Agreement, you shall be granted access to the Company premises and access to the Company parking lot as reasonably necessary for purposes of performing the services under the Consulting Agreement. Following the Separation Date, you shall be permitted and provided reasonable time to download your business contacts from your Company e-mail account, provided any such downloads do not contain confidential or proprietary information belonging to the Company. Upon reasonable request by you, the Company will forward any personal e-mails sent to your Company email account to your personal e-mail address.</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6.</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Non-disparagement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Subject to Section 7 of this Release Agreement, you agree that you will not directly or indirectly, make any statement, public or private, oral or written, to any person that disparages, either professionally or personally, the Company, and each of them, as well as its and their past and present directors, officers, partners, agents, attorneys, insurers, stockholders, representatives, assigns, successors, and employees, in each case, of whom you have knowledge. You represent that during the period since this Release Agreement was proposed to you, you have not made any such disparaging statements.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agrees to direct its directors and C-Suite executives not to make disparaging statements, either professionally or personally, about you.</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7.</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Protected Disclosures and Other Protected Actions</w:t>
      </w:r>
    </w:p>
    <w:p>
      <w:pPr>
        <w:pStyle w:val="TextBody"/>
        <w:bidi w:val="0"/>
        <w:spacing w:before="0" w:after="240"/>
        <w:jc w:val="left"/>
        <w:rPr>
          <w:rFonts w:ascii="Times New Roman" w:hAnsi="Times New Roman"/>
          <w:sz w:val="20"/>
        </w:rPr>
      </w:pPr>
      <w:r>
        <w:rPr>
          <w:rFonts w:ascii="Times New Roman" w:hAnsi="Times New Roman"/>
          <w:color w:val="000000"/>
          <w:sz w:val="22"/>
        </w:rPr>
        <w:t>Nothing contained in this Release Agreement, any other agreement with the Company (including without limitation the Ongoing Obligations), or any Company policy limits your ability, with or without notice to the Company, to: (i) file a charge or complaint with any federal, state or local governmental agency or commission (a “</w:t>
      </w:r>
      <w:r>
        <w:rPr>
          <w:rFonts w:ascii="Times New Roman" w:hAnsi="Times New Roman"/>
          <w:color w:val="000000"/>
          <w:sz w:val="22"/>
          <w:u w:val="single"/>
        </w:rPr>
        <w:t>Government Agency</w:t>
      </w:r>
      <w:r>
        <w:rPr>
          <w:rFonts w:ascii="Times New Roman" w:hAnsi="Times New Roman"/>
          <w:color w:val="000000"/>
          <w:sz w:val="20"/>
        </w:rPr>
        <w:t>”</w:t>
      </w:r>
      <w:r>
        <w:rPr>
          <w:rFonts w:ascii="Times New Roman" w:hAnsi="Times New Roman"/>
          <w:color w:val="000000"/>
          <w:sz w:val="22"/>
        </w:rPr>
        <w:t>), including without limitation, the Equal Employment Opportunity Commission, the National Labor Relations Board or the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(ii) communicate with any Government Agency or otherwise participate in any investigation or proceeding that may be conducted by any Government Agency, including by providing non-privileged documents or information; (iii) discuss or disclose information about unlawful acts in the workplace, such as harassment or discrimination or any other conduct that you have reason to believe is unlawful; or (iv)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 for providing information to the SEC or any other Government Agency.</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8.</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Defend Trade Secrets Act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the avoidance of doubt, pursuant to the federal Defend Trade Secrets Act of 2016,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9.</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Other Provisions</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left"/>
        <w:rPr/>
      </w:pPr>
      <w:r>
        <w:rPr>
          <w:rFonts w:ascii="Times New Roman" w:hAnsi="Times New Roman"/>
          <w:color w:val="000000"/>
          <w:sz w:val="22"/>
          <w:u w:val="single"/>
        </w:rPr>
        <w:t>Termination and Return of Payments; Certain Remedies</w:t>
      </w:r>
      <w:r>
        <w:rPr>
          <w:rFonts w:ascii="Times New Roman" w:hAnsi="Times New Roman"/>
          <w:color w:val="000000"/>
          <w:sz w:val="22"/>
        </w:rPr>
        <w:t>. If you materially breach any of your obligations under any Ongoing Obligation, and to the extent such breach is curable, you do not cure such breach within fourteen (14) days of the Company’s providing you written notice setting forth in reasonable detail such breach and the actions required to cure such breach, which notice shall be provided within thirty (30 days) of such breach, in addition to any other legal or equitable remedies it may have for such breach, the Company shall have the right to: (i) terminate the Consulting Agreement, and/or (ii) enforce the return of its non-wage payments to you or for your benefit under this Release Agreement. If the Company initiates (i) or (ii) in the preceding sentence due to a breach, you shall continue to be subject to the Ongoing Obligations. Without limiting the Company’s remedies hereunder, if the Company prevails in any action to enforce this Release Agreement, then you shall be liable to the Company for reasonable attorneys’ fees and costs incurred by the Company in connection with such action.</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left"/>
        <w:rPr/>
      </w:pPr>
      <w:r>
        <w:rPr>
          <w:rFonts w:ascii="Times New Roman" w:hAnsi="Times New Roman"/>
          <w:color w:val="000000"/>
          <w:sz w:val="22"/>
          <w:u w:val="single"/>
        </w:rPr>
        <w:t>Enforceability</w:t>
      </w:r>
      <w:r>
        <w:rPr>
          <w:rFonts w:ascii="Times New Roman" w:hAnsi="Times New Roman"/>
          <w:color w:val="000000"/>
          <w:sz w:val="22"/>
        </w:rPr>
        <w:t>. If any provision of this Release Agreement is held to be unenforceable, this Release Agreement will be deemed amended to the extent necessary to render the otherwise unenforceable provision, and the rest of the Release Agreement, valid and enforceable. If a court declines to amend this Release Agreement as provided herein, the invalidity or unenforceability of any provision of this Release Agreement shall not affect the validity or enforceability of the remaining provisions.</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left"/>
        <w:rPr/>
      </w:pPr>
      <w:r>
        <w:rPr>
          <w:rFonts w:ascii="Times New Roman" w:hAnsi="Times New Roman"/>
          <w:color w:val="000000"/>
          <w:sz w:val="22"/>
          <w:u w:val="single"/>
        </w:rPr>
        <w:t>Waiver; Absence of Reliance</w:t>
      </w:r>
      <w:r>
        <w:rPr>
          <w:rFonts w:ascii="Times New Roman" w:hAnsi="Times New Roman"/>
          <w:color w:val="000000"/>
          <w:sz w:val="22"/>
        </w:rPr>
        <w:t>. No waiver of any provision of this Release Agreement shall be effective unless made in writing and signed by the waiving party. In signing this Release Agreement, you are not relying upon any promises or representations made by anyone at or on behalf of the Company.</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left"/>
        <w:rPr/>
      </w:pPr>
      <w:r>
        <w:rPr>
          <w:rFonts w:ascii="Times New Roman" w:hAnsi="Times New Roman"/>
          <w:color w:val="000000"/>
          <w:sz w:val="22"/>
          <w:u w:val="single"/>
        </w:rPr>
        <w:t>Jurisdiction; Governing Law; Interpretation</w:t>
      </w:r>
      <w:r>
        <w:rPr>
          <w:rFonts w:ascii="Times New Roman" w:hAnsi="Times New Roman"/>
          <w:color w:val="000000"/>
          <w:sz w:val="22"/>
        </w:rPr>
        <w:t>. You and the Company hereby agree that the state and federal courts of Massachusetts shall have the exclusive jurisdiction to consider any matters related to this Release Agreement. With respect to any such court action, you submit to the jurisdiction and venue of such courts, you acknowledge that venue in such courts is proper and you waive any right to a jury with respect to any such action. This Release Agreement shall be interpreted and enforced under the laws of Massachusetts, without regard to conflict of law principles.</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e.</w:t>
      </w:r>
    </w:p>
    <w:p>
      <w:pPr>
        <w:pStyle w:val="TextBody"/>
        <w:bidi w:val="0"/>
        <w:spacing w:before="0" w:after="240"/>
        <w:jc w:val="left"/>
        <w:rPr/>
      </w:pPr>
      <w:r>
        <w:rPr>
          <w:rFonts w:ascii="Times New Roman" w:hAnsi="Times New Roman"/>
          <w:color w:val="000000"/>
          <w:sz w:val="22"/>
          <w:u w:val="single"/>
        </w:rPr>
        <w:t>Entire Agreement</w:t>
      </w:r>
      <w:r>
        <w:rPr>
          <w:rFonts w:ascii="Times New Roman" w:hAnsi="Times New Roman"/>
          <w:color w:val="000000"/>
          <w:sz w:val="22"/>
        </w:rPr>
        <w:t>. This Release Agreement, the Equity Documents, and the Ongoing Obligations constitute the entire agreement between you and the Company and supersedes any previous agreements or understandings between you and the Company.</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f.</w:t>
      </w:r>
    </w:p>
    <w:p>
      <w:pPr>
        <w:pStyle w:val="TextBody"/>
        <w:bidi w:val="0"/>
        <w:spacing w:before="0" w:after="240"/>
        <w:jc w:val="left"/>
        <w:rPr/>
      </w:pPr>
      <w:r>
        <w:rPr>
          <w:rFonts w:ascii="Times New Roman" w:hAnsi="Times New Roman"/>
          <w:color w:val="000000"/>
          <w:sz w:val="22"/>
          <w:u w:val="single"/>
        </w:rPr>
        <w:t>Time for Consideration; Effective Date</w:t>
      </w:r>
      <w:r>
        <w:rPr>
          <w:rFonts w:ascii="Times New Roman" w:hAnsi="Times New Roman"/>
          <w:color w:val="000000"/>
          <w:sz w:val="22"/>
        </w:rPr>
        <w:t>. You acknowledge that you have knowingly and voluntarily entered into this Release Agreement and that the Company advises you to consult with an attorney before signing this Release Agreement. By entering into this Release Agreement, you acknowledge that you have been given the opportunity to consider this Release Agreement for twenty-one (21) days from your receipt of this Release Agreement before signing it (the “</w:t>
      </w:r>
      <w:r>
        <w:rPr>
          <w:rFonts w:ascii="Times New Roman" w:hAnsi="Times New Roman"/>
          <w:color w:val="000000"/>
          <w:sz w:val="22"/>
          <w:u w:val="single"/>
        </w:rPr>
        <w:t>Consideration Period</w:t>
      </w:r>
      <w:r>
        <w:rPr>
          <w:color w:val="000000"/>
        </w:rPr>
        <w:t>”</w:t>
      </w:r>
      <w:r>
        <w:rPr>
          <w:rFonts w:ascii="Times New Roman" w:hAnsi="Times New Roman"/>
          <w:color w:val="000000"/>
          <w:sz w:val="22"/>
        </w:rPr>
        <w:t>). To accept this Release Agreement, you must return a signed original or a signed PDF copy of this Release Agreement so that it is received by the undersigned at or before the expiration of the Consideration Period. If you sign this Release Agreement before the end of the Consideration Period, you acknowledge that such decision was entirely voluntary and that you had the opportunity to consider this Release Agreement for the entire Consideration Period. For the period of seven (7) days from the date when you sign this Release Agreement, you have the right to revoke this Release Agreement by written notice to the undersigned, provided that such notice is delivered so that it is received at or before the expiration of the seven (7) day revocation period. This Release Agreement shall not become effective or enforceable during the revocation period. This Release Agreement shall become effective on the first business day following the expiration of the revocation period (the “</w:t>
      </w:r>
      <w:r>
        <w:rPr>
          <w:rFonts w:ascii="Times New Roman" w:hAnsi="Times New Roman"/>
          <w:color w:val="000000"/>
          <w:sz w:val="22"/>
          <w:u w:val="single"/>
        </w:rPr>
        <w:t>Effective Date</w:t>
      </w:r>
      <w:r>
        <w:rPr>
          <w:color w:val="000000"/>
        </w:rPr>
        <w: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10000"/>
          <w:sz w:val="22"/>
        </w:rPr>
      </w:pPr>
      <w:r>
        <w:rPr>
          <w:rFonts w:ascii="Times New Roman" w:hAnsi="Times New Roman"/>
          <w:color w:val="010000"/>
          <w:sz w:val="22"/>
        </w:rPr>
        <w:t>g.</w:t>
      </w:r>
    </w:p>
    <w:p>
      <w:pPr>
        <w:pStyle w:val="TextBody"/>
        <w:bidi w:val="0"/>
        <w:spacing w:before="0" w:after="240"/>
        <w:jc w:val="left"/>
        <w:rPr/>
      </w:pPr>
      <w:r>
        <w:rPr>
          <w:rFonts w:ascii="Times New Roman" w:hAnsi="Times New Roman"/>
          <w:color w:val="000000"/>
          <w:sz w:val="22"/>
          <w:u w:val="single"/>
        </w:rPr>
        <w:t>Counterparts</w:t>
      </w:r>
      <w:r>
        <w:rPr>
          <w:rFonts w:ascii="Times New Roman" w:hAnsi="Times New Roman"/>
          <w:color w:val="000000"/>
          <w:sz w:val="22"/>
        </w:rPr>
        <w:t>. This Release Agreement may be executed in separate counterparts. When all counterparts are signed, they shall be treated together as one and the same document.</w:t>
      </w:r>
    </w:p>
    <w:p>
      <w:pPr>
        <w:pStyle w:val="TextBody"/>
        <w:bidi w:val="0"/>
        <w:spacing w:before="0" w:after="240"/>
        <w:jc w:val="left"/>
        <w:rPr>
          <w:rFonts w:ascii="Times New Roman" w:hAnsi="Times New Roman"/>
          <w:b/>
          <w:color w:val="010000"/>
          <w:sz w:val="22"/>
        </w:rPr>
      </w:pPr>
      <w:r>
        <w:rPr>
          <w:rFonts w:ascii="Times New Roman" w:hAnsi="Times New Roman"/>
          <w:b/>
          <w:color w:val="010000"/>
          <w:sz w:val="22"/>
        </w:rPr>
        <w:t>10.</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409A</w:t>
      </w:r>
    </w:p>
    <w:p>
      <w:pPr>
        <w:pStyle w:val="TextBody"/>
        <w:bidi w:val="0"/>
        <w:spacing w:before="0" w:after="240"/>
        <w:jc w:val="left"/>
        <w:rPr>
          <w:rFonts w:ascii="Times New Roman" w:hAnsi="Times New Roman"/>
          <w:sz w:val="20"/>
        </w:rPr>
      </w:pPr>
      <w:r>
        <w:rPr>
          <w:rFonts w:ascii="Times New Roman" w:hAnsi="Times New Roman"/>
          <w:color w:val="000000"/>
          <w:sz w:val="22"/>
        </w:rPr>
        <w:t>This Release Agreement is not intended to provide for any deferral of compensation subject to Section 409A of the Internal Revenue Code of 1986, as amended (the “</w:t>
      </w:r>
      <w:r>
        <w:rPr>
          <w:rFonts w:ascii="Times New Roman" w:hAnsi="Times New Roman"/>
          <w:color w:val="000000"/>
          <w:sz w:val="22"/>
          <w:u w:val="single"/>
        </w:rPr>
        <w:t>Code</w:t>
      </w:r>
      <w:r>
        <w:rPr>
          <w:rFonts w:ascii="Times New Roman" w:hAnsi="Times New Roman"/>
          <w:color w:val="000000"/>
          <w:sz w:val="20"/>
        </w:rPr>
        <w:t>”</w:t>
      </w:r>
      <w:r>
        <w:rPr>
          <w:rFonts w:ascii="Times New Roman" w:hAnsi="Times New Roman"/>
          <w:color w:val="000000"/>
          <w:sz w:val="22"/>
        </w:rPr>
        <w:t>), and, to the maximum extent permitted by applicable law, amounts payable to you pursuant to Section 2 shall be made in reliance upon Treasury Regulation Section 1.409A-1(b)(9) (with respect to separation pay plans) or Treasury Regulation Section 1.409A-1(b)(4) (with respect to short-term deferrals). To the extent applicable, this Release Agreement shall be interpreted in accordance with Code Section 409A and Department of Treasury regulations and other interpretive guidance issued thereunder consistent with the foregoing intention. Each series of installment payments made under this Release Agreement is hereby designated as a series of “separate payments” within the meaning of Section 409A of the Code. Notwithstanding anything herein to the contrary, to the extent any payments to you hereunder constitute “non-qualified deferred compensation” subject to Section 409A of the Code or are intended to be exempt from Section 409A of the Code pursuant to Treasury Regulation Section 1.409A-1(b)(9), then, to the extent required by Section 409A of the Code or to satisfy such exception, no amount shall be payable pursuant to such sections unless your termination of employment constitutes a “separation from service” with the Company (as such term is defined in Treasury Regulation Section 1.409A-1(h) and any successor provision thereto) (a “</w:t>
      </w:r>
      <w:r>
        <w:rPr>
          <w:rFonts w:ascii="Times New Roman" w:hAnsi="Times New Roman"/>
          <w:color w:val="000000"/>
          <w:sz w:val="22"/>
          <w:u w:val="single"/>
        </w:rPr>
        <w:t>Separation from Service</w:t>
      </w:r>
      <w:r>
        <w:rPr>
          <w:rFonts w:ascii="Times New Roman" w:hAnsi="Times New Roman"/>
          <w:color w:val="000000"/>
          <w:sz w:val="20"/>
        </w:rPr>
        <w:t>”</w:t>
      </w:r>
      <w:r>
        <w:rPr>
          <w:rFonts w:ascii="Times New Roman" w:hAnsi="Times New Roman"/>
          <w:color w:val="000000"/>
          <w:sz w:val="22"/>
        </w:rPr>
        <w:t>). If you are a “specified employee” (as defined in Section 409A of the Code), as determined by the Company in accordance with Section 409A of the Code, on the date of your Separation from Service, to the extent that the payments or benefits under this Release Agreement constitute “non-qualified deferred compensation” subject to Section 409A of the Code and the delayed payment or distribution of all or any portion of such amounts to which you are entitled under this Release Agreement is required in order to avoid a prohibited distribution under Section 409A(a)(2)(B)(i) of the Code, then such portion deferred pursuant to this Section shall be paid or distributed to you in a lump sum on the earlier of (A) the date that is six (6) months following your Separation from Service, (B) the date of your death or (C) the earliest date as is permitted under Section 409A of the Code. Any remaining payments due under this Release Agreement shall be paid as otherwise provided herein. Further, in the event that the amounts payable under Section 2 constitute “non-qualified deferred compensation” subject to Section 409A of the Code and the timing of the delivery of this Release Agreement could cause such amounts to be paid in one or another taxable year, then, notwithstanding the payment timing set forth in such sections, such amounts shall not be payable until the later of (A) the payment date specified in such section or (B) the first business day of the taxable year following your Separation from Service. Any reimbursements or in-kind benefits payable under this Release Agreement shall be made in accordance with Treasury Regulation Section 1.409A-3(i)(1)(iv) and shall be paid on or before the last day of your taxable year following the taxable year in which you incurred the expenses. The reimbursements or in-kind benefits provided under this Release Agreement during any taxable year of yours will not affect such amounts provided in any other taxable year of yours, and your right to reimbursement for such amounts shall not be subject to liquidation or exchange for any other benefit. The Company makes no representation or warranty and shall have no liability to you or any other person if any provisions of this Release Agreement are determined to constitute deferred compensation subject to Section 409A but do not satisfy an exemption from, or the conditions of, Section 409A.</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Please indicate your agreement to the terms of this Release Agreement by signing and returning to the undersigned the original or a PDF copy of this letter within the time period set forth above.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Aura Biosciences, Inc.</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w:t>
      </w:r>
    </w:p>
    <w:p>
      <w:pPr>
        <w:pStyle w:val="TextBody"/>
        <w:bidi w:val="0"/>
        <w:spacing w:before="0" w:after="720"/>
        <w:jc w:val="left"/>
        <w:rPr>
          <w:rFonts w:ascii="Times New Roman" w:hAnsi="Times New Roman"/>
          <w:sz w:val="20"/>
        </w:rPr>
      </w:pPr>
      <w:r>
        <w:rPr>
          <w:rFonts w:ascii="Times New Roman" w:hAnsi="Times New Roman"/>
          <w:color w:val="000000"/>
          <w:sz w:val="22"/>
          <w:u w:val="single"/>
        </w:rPr>
        <w:t xml:space="preserve">/s/ Dave Johnson </w:t>
      </w:r>
      <w:r>
        <w:rPr>
          <w:rFonts w:ascii="Times New Roman" w:hAnsi="Times New Roman"/>
          <w:color w:val="000000"/>
          <w:sz w:val="22"/>
        </w:rPr>
        <w:br/>
        <w:t>Name: Dave Johnson</w:t>
        <w:br/>
        <w:t>Title: Chairman of the Board of Directors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are advised to consult with an attorney before signing this Release Agreement. This is a legal document. Your signature will commit you to its terms. By signing below, you acknowledge that you have carefully read and fully understand all of the provisions of this Release Agreement and that you are knowingly and voluntarily entering into this Release Agreement.</w:t>
      </w:r>
    </w:p>
    <w:tbl>
      <w:tblPr>
        <w:tblW w:w="3827" w:type="dxa"/>
        <w:jc w:val="left"/>
        <w:tblInd w:w="0" w:type="dxa"/>
        <w:tblLayout w:type="fixed"/>
        <w:tblCellMar>
          <w:top w:w="28" w:type="dxa"/>
          <w:left w:w="28" w:type="dxa"/>
          <w:bottom w:w="28" w:type="dxa"/>
          <w:right w:w="28" w:type="dxa"/>
        </w:tblCellMar>
      </w:tblPr>
      <w:tblGrid>
        <w:gridCol w:w="2716"/>
        <w:gridCol w:w="1111"/>
      </w:tblGrid>
      <w:tr>
        <w:trPr/>
        <w:tc>
          <w:tcPr>
            <w:tcW w:w="27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color w:val="000000"/>
                <w:sz w:val="22"/>
                <w:u w:val="single"/>
              </w:rPr>
            </w:pPr>
            <w:r>
              <w:rPr>
                <w:rFonts w:ascii="Times New Roman" w:hAnsi="Times New Roman"/>
                <w:color w:val="000000"/>
                <w:sz w:val="22"/>
                <w:u w:val="single"/>
              </w:rPr>
              <w:t>/s/ Elisabet de los Pinos</w:t>
            </w:r>
          </w:p>
        </w:tc>
        <w:tc>
          <w:tcPr>
            <w:tcW w:w="1111" w:type="dxa"/>
            <w:tcBorders/>
            <w:tcMar>
              <w:top w:w="0" w:type="dxa"/>
              <w:left w:w="0" w:type="dxa"/>
              <w:bottom w:w="0" w:type="dxa"/>
              <w:right w:w="0" w:type="dxa"/>
            </w:tcMar>
            <w:vAlign w:val="center"/>
          </w:tcPr>
          <w:p>
            <w:pPr>
              <w:pStyle w:val="TableContents"/>
              <w:bidi w:val="0"/>
              <w:spacing w:before="600" w:after="283"/>
              <w:jc w:val="left"/>
              <w:rPr>
                <w:rFonts w:ascii="Times New Roman" w:hAnsi="Times New Roman"/>
                <w:color w:val="000000"/>
                <w:sz w:val="22"/>
                <w:u w:val="single"/>
              </w:rPr>
            </w:pPr>
            <w:r>
              <w:rPr>
                <w:rFonts w:ascii="Times New Roman" w:hAnsi="Times New Roman"/>
                <w:color w:val="000000"/>
                <w:sz w:val="22"/>
                <w:u w:val="single"/>
              </w:rPr>
              <w:t>4/29/2026</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Elisabet de los Pinos</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right"/>
        <w:rPr>
          <w:rFonts w:ascii="Times New Roman" w:hAnsi="Times New Roman"/>
          <w:b/>
          <w:color w:val="000000"/>
          <w:sz w:val="20"/>
        </w:rPr>
      </w:pPr>
      <w:bookmarkStart w:id="30" w:name="aura-ex10_4.htm"/>
      <w:bookmarkStart w:id="31" w:name="ksauraex10_4"/>
      <w:bookmarkEnd w:id="30"/>
      <w:bookmarkEnd w:id="31"/>
      <w:r>
        <w:rPr>
          <w:rFonts w:ascii="Times New Roman" w:hAnsi="Times New Roman"/>
          <w:b/>
          <w:color w:val="000000"/>
          <w:sz w:val="20"/>
        </w:rPr>
        <w:t>Exhibit 10.4</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u w:val="single"/>
        </w:rPr>
      </w:pPr>
      <w:bookmarkStart w:id="32" w:name="appendix_c"/>
      <w:bookmarkEnd w:id="32"/>
      <w:r>
        <w:rPr>
          <w:rFonts w:ascii="Times New Roman" w:hAnsi="Times New Roman"/>
          <w:b/>
          <w:color w:val="000000"/>
          <w:sz w:val="20"/>
          <w:u w:val="single"/>
        </w:rPr>
        <w:t>Amendment No. 1 to the 2021 Stock Option and Incentive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accordance with Section 16 of the Aura Biosciences, Inc. (the “</w:t>
      </w:r>
      <w:r>
        <w:rPr>
          <w:rFonts w:ascii="Times New Roman" w:hAnsi="Times New Roman"/>
          <w:b/>
          <w:color w:val="000000"/>
          <w:sz w:val="20"/>
          <w:u w:val="single"/>
        </w:rPr>
        <w:t>Company</w:t>
      </w:r>
      <w:r>
        <w:rPr>
          <w:rFonts w:ascii="Times New Roman" w:hAnsi="Times New Roman"/>
          <w:color w:val="000000"/>
          <w:sz w:val="20"/>
        </w:rPr>
        <w:t>”) 2021 Stock Option and Incentive Plan (the “</w:t>
      </w:r>
      <w:r>
        <w:rPr>
          <w:rFonts w:ascii="Times New Roman" w:hAnsi="Times New Roman"/>
          <w:b/>
          <w:color w:val="000000"/>
          <w:sz w:val="20"/>
          <w:u w:val="single"/>
        </w:rPr>
        <w:t>Plan</w:t>
      </w:r>
      <w:r>
        <w:rPr>
          <w:rFonts w:ascii="Times New Roman" w:hAnsi="Times New Roman"/>
          <w:color w:val="000000"/>
          <w:sz w:val="20"/>
        </w:rPr>
        <w:t>”), the Plan is hereby amended as follows, subject to approval of the Company’s stockholders:</w:t>
      </w:r>
    </w:p>
    <w:p>
      <w:pPr>
        <w:pStyle w:val="TextBody"/>
        <w:bidi w:val="0"/>
        <w:jc w:val="left"/>
        <w:rPr/>
      </w:pPr>
      <w:r>
        <w:rPr/>
        <w:t> </w:t>
      </w:r>
    </w:p>
    <w:p>
      <w:pPr>
        <w:pStyle w:val="TextBody"/>
        <w:bidi w:val="0"/>
        <w:spacing w:before="0" w:after="240"/>
        <w:ind w:left="360"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1 of the Plan is hereby amended to include the following as a new definition:</w:t>
      </w:r>
    </w:p>
    <w:p>
      <w:pPr>
        <w:pStyle w:val="TextBody"/>
        <w:bidi w:val="0"/>
        <w:ind w:left="720" w:right="0" w:hanging="0"/>
        <w:jc w:val="left"/>
        <w:rPr/>
      </w:pPr>
      <w:r>
        <w:rPr>
          <w:color w:val="000000"/>
        </w:rPr>
        <w:t>“</w:t>
      </w:r>
      <w:r>
        <w:rPr>
          <w:rFonts w:ascii="Times New Roman" w:hAnsi="Times New Roman"/>
          <w:b/>
          <w:color w:val="000000"/>
          <w:sz w:val="20"/>
        </w:rPr>
        <w:t>Outstanding Shares</w:t>
      </w:r>
      <w:r>
        <w:rPr>
          <w:rFonts w:ascii="Times New Roman" w:hAnsi="Times New Roman"/>
          <w:color w:val="000000"/>
          <w:sz w:val="20"/>
        </w:rPr>
        <w:t>” means, as of a specified date, the sum of (a) number of shares of Stock issued and outstanding and (b) the number of shares of Stock issuable pursuant to the exercise of any outstanding, pre-funded warrants to acquire shares of Stock for a nominal exercise price.</w:t>
      </w:r>
    </w:p>
    <w:p>
      <w:pPr>
        <w:pStyle w:val="TextBody"/>
        <w:bidi w:val="0"/>
        <w:ind w:left="720" w:right="0" w:hanging="0"/>
        <w:jc w:val="left"/>
        <w:rPr/>
      </w:pPr>
      <w:r>
        <w:rPr/>
        <w:t> </w:t>
      </w:r>
    </w:p>
    <w:p>
      <w:pPr>
        <w:pStyle w:val="TextBody"/>
        <w:bidi w:val="0"/>
        <w:spacing w:before="0" w:after="240"/>
        <w:ind w:left="360"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rPr>
        <w:t xml:space="preserve">The first sentence of </w:t>
      </w:r>
      <w:r>
        <w:rPr>
          <w:rFonts w:ascii="Times New Roman" w:hAnsi="Times New Roman"/>
          <w:color w:val="000000"/>
          <w:sz w:val="20"/>
          <w:u w:val="single"/>
        </w:rPr>
        <w:t>Section 3(a)</w:t>
      </w:r>
      <w:r>
        <w:rPr>
          <w:color w:val="000000"/>
        </w:rPr>
        <w:t xml:space="preserve"> </w:t>
      </w:r>
      <w:r>
        <w:rPr>
          <w:rFonts w:ascii="Times New Roman" w:hAnsi="Times New Roman"/>
          <w:color w:val="000000"/>
          <w:sz w:val="20"/>
        </w:rPr>
        <w:t xml:space="preserve">of the Plan is hereby deleted and replaced as follows: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Issuable</w:t>
      </w:r>
      <w:r>
        <w:rPr>
          <w:rFonts w:ascii="Times New Roman" w:hAnsi="Times New Roman"/>
          <w:color w:val="000000"/>
          <w:sz w:val="20"/>
        </w:rPr>
        <w:t>. The maximum number of shares of Stock reserved and available for issuance under the Plan shall be 3,352,166 shares (the “</w:t>
      </w:r>
      <w:r>
        <w:rPr>
          <w:rFonts w:ascii="Times New Roman" w:hAnsi="Times New Roman"/>
          <w:b/>
          <w:color w:val="000000"/>
          <w:sz w:val="20"/>
        </w:rPr>
        <w:t>Initial Limit</w:t>
      </w:r>
      <w:r>
        <w:rPr>
          <w:rFonts w:ascii="Times New Roman" w:hAnsi="Times New Roman"/>
          <w:color w:val="000000"/>
          <w:sz w:val="20"/>
        </w:rPr>
        <w:t>”), subject to adjustment as provided in this Section 3, plus on January 1, 2022 and each January 1 thereafter, the number of shares of Stock reserved and available for issuance under the Plan shall be cumulatively increased by (i) five percent (5%) of the Outstanding Shares on the immediately preceding December 31 or (ii) such lesser number of shares as determined by the Administrator (the “</w:t>
      </w:r>
      <w:r>
        <w:rPr>
          <w:rFonts w:ascii="Times New Roman" w:hAnsi="Times New Roman"/>
          <w:b/>
          <w:color w:val="000000"/>
          <w:sz w:val="20"/>
        </w:rPr>
        <w:t>Annual Increase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This Amendment No. 1 to the Plan (this “</w:t>
      </w:r>
      <w:r>
        <w:rPr>
          <w:rFonts w:ascii="Times New Roman" w:hAnsi="Times New Roman"/>
          <w:b/>
          <w:color w:val="000000"/>
          <w:sz w:val="20"/>
          <w:u w:val="single"/>
        </w:rPr>
        <w:t>Amendment</w:t>
      </w:r>
      <w:r>
        <w:rPr>
          <w:rFonts w:ascii="Times New Roman" w:hAnsi="Times New Roman"/>
          <w:color w:val="000000"/>
          <w:sz w:val="20"/>
        </w:rPr>
        <w:t>”) constitutes an integral part of the Plan. For all purposes of this Amendment, capitalized terms used herein without definition shall have the meanings specified in the Plan, as the Plan shall be in effect on the date hereof after giving effect to the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set forth herein, all of the terms and conditions of the Plan, as in effect prior to the effectiveness of this Amendment, shall continue to remain in full force and effect as originally stated therein.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 APPROVED BY BOARD OF DIRECTORS: June 11, 2026</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3" w:name="aura-ex10_5.htm"/>
      <w:bookmarkStart w:id="34" w:name="ksauraex10_5"/>
      <w:bookmarkEnd w:id="33"/>
      <w:bookmarkEnd w:id="34"/>
      <w:r>
        <w:rPr>
          <w:rFonts w:ascii="Times New Roman" w:hAnsi="Times New Roman"/>
          <w:b/>
          <w:color w:val="000000"/>
          <w:sz w:val="24"/>
        </w:rPr>
        <w:t>Exhibit 10.5</w:t>
      </w:r>
      <w:r>
        <w:br w:type="page"/>
      </w:r>
    </w:p>
    <w:p>
      <w:pPr>
        <w:pStyle w:val="TextBody"/>
        <w:bidi w:val="0"/>
        <w:jc w:val="left"/>
        <w:rPr/>
      </w:pPr>
      <w:r>
        <w:rPr/>
        <w:t> </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STOCK PURCHASE AGREEMENT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 xml:space="preserve">This Stock Purchase Agreement </w:t>
      </w:r>
      <w:r>
        <w:rPr>
          <w:rFonts w:ascii="Times New Roman" w:hAnsi="Times New Roman"/>
          <w:color w:val="000000"/>
          <w:sz w:val="24"/>
        </w:rPr>
        <w:t>(this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as of April 30, 2026, by and between Aura Biosciences,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Matrix Capital Management Master Fund, LP (“</w:t>
      </w:r>
      <w:r>
        <w:rPr>
          <w:rFonts w:ascii="Times New Roman" w:hAnsi="Times New Roman"/>
          <w:b/>
          <w:i/>
          <w:color w:val="000000"/>
          <w:sz w:val="24"/>
        </w:rPr>
        <w:t>Seller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Seller desires to sell to the Company, and the Company desires to purchase from Seller, shares of common stock, par value $0.00001 per share (the “</w:t>
      </w:r>
      <w:r>
        <w:rPr>
          <w:rFonts w:ascii="Times New Roman" w:hAnsi="Times New Roman"/>
          <w:b/>
          <w:i/>
          <w:color w:val="000000"/>
          <w:sz w:val="24"/>
        </w:rPr>
        <w:t>Common Stock</w:t>
      </w:r>
      <w:r>
        <w:rPr>
          <w:rFonts w:ascii="Times New Roman" w:hAnsi="Times New Roman"/>
          <w:color w:val="000000"/>
          <w:sz w:val="20"/>
        </w:rPr>
        <w:t>”</w:t>
      </w:r>
      <w:r>
        <w:rPr>
          <w:rFonts w:ascii="Times New Roman" w:hAnsi="Times New Roman"/>
          <w:color w:val="000000"/>
          <w:sz w:val="24"/>
        </w:rPr>
        <w:t>), of the Company on the terms and conditions set forth herein (the “</w:t>
      </w:r>
      <w:r>
        <w:rPr>
          <w:rFonts w:ascii="Times New Roman" w:hAnsi="Times New Roman"/>
          <w:b/>
          <w:i/>
          <w:color w:val="000000"/>
          <w:sz w:val="24"/>
        </w:rPr>
        <w:t>Repurchase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audit committee (the “</w:t>
      </w:r>
      <w:r>
        <w:rPr>
          <w:rFonts w:ascii="Times New Roman" w:hAnsi="Times New Roman"/>
          <w:b/>
          <w:i/>
          <w:color w:val="000000"/>
          <w:sz w:val="24"/>
        </w:rPr>
        <w:t>Audit Committee</w:t>
      </w:r>
      <w:r>
        <w:rPr>
          <w:rFonts w:ascii="Times New Roman" w:hAnsi="Times New Roman"/>
          <w:color w:val="000000"/>
          <w:sz w:val="20"/>
        </w:rPr>
        <w:t>”</w:t>
      </w:r>
      <w:r>
        <w:rPr>
          <w:rFonts w:ascii="Times New Roman" w:hAnsi="Times New Roman"/>
          <w:color w:val="000000"/>
          <w:sz w:val="24"/>
        </w:rPr>
        <w:t>) of the board of directors of the Company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consisting solely of independent and disinterested directors of the Board, and the disinterested members of the Board have evaluated the transactions contemplated by this Agreement pursuant to the Company’s related person transaction policy and the Audit Committee’s charter;</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Board (acting upon the recommendation of the Audit Committee) has unanimously (i) determined that this Agreement and the Repurchase (as defined below), are advisable, fair to, and in the best interests of, the Company and the holders of Common Stock, and (ii) approved this Agreement, the execution and delivery by the Company of this Agreement, the performance by the Company of the covenants and agreements contained herein and the consummation of the Repurchase and the other transactions contemplated hereby and thereby upon the terms and subject to the conditions contained herein;</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Board (acting upon the recommendation of the Audit Committee) has (i) determined that this Agreement and the transactions contemplated hereby, including the Repurchase and the related Registered Equity Offering (as defined below) are advisable, fair to, and in the best interests of, the Company and the holders of Common Stock, (ii) declared this Agreement and the transactions contemplated hereby and the related Registered Equity Offering advisable and (iii) approved this Agreement, the execution and delivery by the Company of this Agreement, the performance by the Company of the covenants and agreements contained herein and the consummation of the Repurchase and related Registered Equity Offering and the other transactions contemplated hereby and thereby upon the terms and subject to the conditions contained herein;</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will conduct an underwritten offering of newly issued Common Stock (the “</w:t>
      </w:r>
      <w:r>
        <w:rPr>
          <w:rFonts w:ascii="Times New Roman" w:hAnsi="Times New Roman"/>
          <w:b/>
          <w:i/>
          <w:color w:val="000000"/>
          <w:sz w:val="24"/>
        </w:rPr>
        <w:t xml:space="preserve">Newly Issued </w:t>
      </w:r>
      <w:r>
        <w:rPr>
          <w:rFonts w:ascii="Times New Roman" w:hAnsi="Times New Roman"/>
          <w:color w:val="000000"/>
          <w:sz w:val="24"/>
        </w:rPr>
        <w:t>Shares”) registered with the U.S. Securities and Exchange Commission (the “</w:t>
      </w:r>
      <w:r>
        <w:rPr>
          <w:rFonts w:ascii="Times New Roman" w:hAnsi="Times New Roman"/>
          <w:b/>
          <w:i/>
          <w:color w:val="000000"/>
          <w:sz w:val="24"/>
        </w:rPr>
        <w:t>Registered Equity Offering</w:t>
      </w:r>
      <w:r>
        <w:rPr>
          <w:rFonts w:ascii="Times New Roman" w:hAnsi="Times New Roman"/>
          <w:color w:val="000000"/>
          <w:sz w:val="20"/>
        </w:rPr>
        <w:t>”</w:t>
      </w:r>
      <w:r>
        <w:rPr>
          <w:rFonts w:ascii="Times New Roman" w:hAnsi="Times New Roman"/>
          <w:color w:val="000000"/>
          <w:sz w:val="24"/>
        </w:rPr>
        <w:t>), in part, to finance the Repurchase of the Repurchased Shares (as defined below) contemplated by this Agreement; and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intends to use the Allocated Net Proceeds (as defined below), and, if applicable, the Allocated Shoe Proceeds (as defined below) from the Registered Equity Offering, to fund the Repurchase.</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the parties hereby agree as follows:</w:t>
      </w:r>
    </w:p>
    <w:p>
      <w:pPr>
        <w:pStyle w:val="TextBody"/>
        <w:bidi w:val="0"/>
        <w:jc w:val="left"/>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Purchase and Sale of the Repurchased Shares</w:t>
      </w:r>
      <w:r>
        <w:rPr>
          <w:rFonts w:ascii="Times New Roman" w:hAnsi="Times New Roman"/>
          <w:color w:val="000000"/>
          <w:sz w:val="24"/>
        </w:rPr>
        <w:t>. Upon the terms and subject to the conditions set forth in this Agreement at each closing of the Repurchase (each, a “</w:t>
      </w:r>
      <w:r>
        <w:rPr>
          <w:rFonts w:ascii="Times New Roman" w:hAnsi="Times New Roman"/>
          <w:b/>
          <w:i/>
          <w:color w:val="000000"/>
          <w:sz w:val="24"/>
        </w:rPr>
        <w:t>Closing</w:t>
      </w:r>
      <w:r>
        <w:rPr>
          <w:color w:val="000000"/>
        </w:rPr>
        <w:t>”</w:t>
      </w:r>
      <w:r>
        <w:rPr>
          <w:rFonts w:ascii="Times New Roman" w:hAnsi="Times New Roman"/>
          <w:color w:val="000000"/>
          <w:sz w:val="24"/>
        </w:rPr>
        <w:t>), the Company hereby agrees to purchase from Seller, and Seller hereby agrees to sell, convey, assign and transfer to the Company, all right, title and interest in and to the Repurchased Shares purchased in such Closing, free and clear of any Liens (as defined below) and any other limitations or restrictions.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Purchase Price</w:t>
      </w:r>
      <w:r>
        <w:rPr>
          <w:rFonts w:ascii="Times New Roman" w:hAnsi="Times New Roman"/>
          <w:color w:val="000000"/>
          <w:sz w:val="24"/>
        </w:rPr>
        <w:t>. In consideration for the Initial Closing Repurchased Shares, at the Initial Closing, the Company shall deliver to Seller, in United States dollars, an aggregate amount (the “</w:t>
      </w:r>
      <w:r>
        <w:rPr>
          <w:rFonts w:ascii="Times New Roman" w:hAnsi="Times New Roman"/>
          <w:b/>
          <w:i/>
          <w:color w:val="000000"/>
          <w:sz w:val="24"/>
        </w:rPr>
        <w:t>Initial Closing Purchase Price</w:t>
      </w:r>
      <w:r>
        <w:rPr>
          <w:color w:val="000000"/>
        </w:rPr>
        <w:t>”</w:t>
      </w:r>
      <w:r>
        <w:rPr>
          <w:rFonts w:ascii="Times New Roman" w:hAnsi="Times New Roman"/>
          <w:color w:val="000000"/>
          <w:sz w:val="24"/>
        </w:rPr>
        <w:t xml:space="preserve">) equal to (x) the number of Initial Closing Repurchased Shares, </w:t>
      </w:r>
      <w:r>
        <w:rPr>
          <w:rFonts w:ascii="Times New Roman" w:hAnsi="Times New Roman"/>
          <w:i/>
          <w:color w:val="000000"/>
          <w:sz w:val="24"/>
        </w:rPr>
        <w:t xml:space="preserve">multiplied by </w:t>
      </w:r>
      <w:r>
        <w:rPr>
          <w:rFonts w:ascii="Times New Roman" w:hAnsi="Times New Roman"/>
          <w:color w:val="000000"/>
          <w:sz w:val="24"/>
        </w:rPr>
        <w:t>(y) the Net Public Offering Price Per Share. In consideration for any Subsequent Closing Repurchased Shares, at each Subsequent Closing, the Company shall deliver to Seller, in United States dollars, an aggregate amount (the “</w:t>
      </w:r>
      <w:r>
        <w:rPr>
          <w:rFonts w:ascii="Times New Roman" w:hAnsi="Times New Roman"/>
          <w:b/>
          <w:i/>
          <w:color w:val="000000"/>
          <w:sz w:val="24"/>
        </w:rPr>
        <w:t>Subsequent Closing Purchase Price</w:t>
      </w:r>
      <w:r>
        <w:rPr>
          <w:color w:val="000000"/>
        </w:rPr>
        <w:t>”</w:t>
      </w:r>
      <w:r>
        <w:rPr>
          <w:rFonts w:ascii="Times New Roman" w:hAnsi="Times New Roman"/>
          <w:color w:val="000000"/>
          <w:sz w:val="24"/>
        </w:rPr>
        <w:t xml:space="preserve">) equal to (x) the number of Subsequent Closing Repurchased Shares, </w:t>
      </w:r>
      <w:r>
        <w:rPr>
          <w:rFonts w:ascii="Times New Roman" w:hAnsi="Times New Roman"/>
          <w:i/>
          <w:color w:val="000000"/>
          <w:sz w:val="24"/>
        </w:rPr>
        <w:t xml:space="preserve">multiplied by </w:t>
      </w:r>
      <w:r>
        <w:rPr>
          <w:rFonts w:ascii="Times New Roman" w:hAnsi="Times New Roman"/>
          <w:color w:val="000000"/>
          <w:sz w:val="24"/>
        </w:rPr>
        <w:t>(y) the Net Public Offering Price Per Share. The “</w:t>
      </w:r>
      <w:r>
        <w:rPr>
          <w:rFonts w:ascii="Times New Roman" w:hAnsi="Times New Roman"/>
          <w:b/>
          <w:i/>
          <w:color w:val="000000"/>
          <w:sz w:val="24"/>
        </w:rPr>
        <w:t>Net Public Offering Price Per Share</w:t>
      </w:r>
      <w:r>
        <w:rPr>
          <w:color w:val="000000"/>
        </w:rPr>
        <w:t xml:space="preserve">” </w:t>
      </w:r>
      <w:r>
        <w:rPr>
          <w:rFonts w:ascii="Times New Roman" w:hAnsi="Times New Roman"/>
          <w:color w:val="000000"/>
          <w:sz w:val="24"/>
        </w:rPr>
        <w:t xml:space="preserve">means (i) the public offering price per Newly Issued Share in the Registered Equity Offering as set forth on the cover page of the final prospectus supplement for the Registered Equity Offering, </w:t>
      </w:r>
      <w:r>
        <w:rPr>
          <w:rFonts w:ascii="Times New Roman" w:hAnsi="Times New Roman"/>
          <w:i/>
          <w:color w:val="000000"/>
          <w:sz w:val="24"/>
        </w:rPr>
        <w:t xml:space="preserve">minus </w:t>
      </w:r>
      <w:r>
        <w:rPr>
          <w:rFonts w:ascii="Times New Roman" w:hAnsi="Times New Roman"/>
          <w:color w:val="000000"/>
          <w:sz w:val="24"/>
        </w:rPr>
        <w:t>(ii) the amount of the underwriting discount to the underwriters in the Registered Equity Offering per Newly Issued Share.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Transaction Costs and Expenses</w:t>
      </w:r>
      <w:r>
        <w:rPr>
          <w:rFonts w:ascii="Times New Roman" w:hAnsi="Times New Roman"/>
          <w:color w:val="000000"/>
          <w:sz w:val="24"/>
        </w:rPr>
        <w:t xml:space="preserve">. Seller hereby agrees to bear (and to the extent requested by the Company and not netted pursuant to </w:t>
      </w:r>
      <w:r>
        <w:rPr>
          <w:rFonts w:ascii="Times New Roman" w:hAnsi="Times New Roman"/>
          <w:color w:val="000000"/>
          <w:sz w:val="24"/>
          <w:u w:val="single"/>
        </w:rPr>
        <w:t>Section 4</w:t>
      </w:r>
      <w:r>
        <w:rPr>
          <w:rFonts w:ascii="Times New Roman" w:hAnsi="Times New Roman"/>
          <w:color w:val="000000"/>
          <w:sz w:val="24"/>
        </w:rPr>
        <w:t>, promptly reimburse the Company for) underwriting commissions and discounts, all sales, use, documentary, registration, transfer, deed taxes, conveyance fees, recording charges and similar taxes, fees and charges (including, all excise taxes (including under Section 4501 of the Internal Revenue Code of 1986, as amended) imposed on or with respect to the Repurchase (as reasonably determined by the Company)) (collectively, “</w:t>
      </w:r>
      <w:r>
        <w:rPr>
          <w:rFonts w:ascii="Times New Roman" w:hAnsi="Times New Roman"/>
          <w:b/>
          <w:i/>
          <w:color w:val="000000"/>
          <w:sz w:val="24"/>
        </w:rPr>
        <w:t>Transaction Costs and Expenses</w:t>
      </w:r>
      <w:r>
        <w:rPr>
          <w:color w:val="000000"/>
        </w:rPr>
        <w:t>”</w:t>
      </w:r>
      <w:r>
        <w:rPr>
          <w:rFonts w:ascii="Times New Roman" w:hAnsi="Times New Roman"/>
          <w:color w:val="000000"/>
          <w:sz w:val="24"/>
        </w:rPr>
        <w:t>). All fees and expenses of counsel, accountants, financial advisors or other professional advisors will be borne by each party and shall not be reimbursed by Seller to Company. For the purpose of clarity, the parties expect that the underwriters discount taken into account in calculating the Net Public Offering Price Per Share shall cover its obligation to reimburse for expenses in the Registered Equity Offering, except as noted above. Any applicable expenses that related to the Registered Equity Offering will be paid for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Closing(s)</w:t>
      </w:r>
      <w:r>
        <w:rPr>
          <w:rFonts w:ascii="Times New Roman" w:hAnsi="Times New Roman"/>
          <w:color w:val="000000"/>
          <w:sz w:val="24"/>
        </w:rPr>
        <w:t xml:space="preserve">. Each Closing shall take place remotely by the exchange of signature pages for executed documents, as promptly as practicable (but no earlier than the second Business Day (as defined below)), in each case after satisfaction or, to the extent permissible, waiver by the party or parties entitled to the benefit of the conditions set forth in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applicable to such Closing (other than conditions that by their nature are to be satisfied at such Closing, but subject to the satisfaction or, to the extent permissible, waiver of those conditions at such Closing), or at such other time or place as the Company and Seller may agree in writing.</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each Closing, Seller shall deliver to the Company:</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materials required to be delivered to effectuate the delivery by Seller via its bank or broker or on the systems of the Transfer Agent of the applicable Repurchased Shares to the Company;</w:t>
      </w:r>
    </w:p>
    <w:p>
      <w:pPr>
        <w:pStyle w:val="TextBody"/>
        <w:bidi w:val="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both"/>
        <w:rPr/>
      </w:pPr>
      <w:r>
        <w:rPr>
          <w:rFonts w:ascii="Times New Roman" w:hAnsi="Times New Roman"/>
          <w:color w:val="000000"/>
          <w:sz w:val="24"/>
        </w:rPr>
        <w:t xml:space="preserve">the certificate required to be delivered pursuant to </w:t>
      </w:r>
      <w:r>
        <w:rPr>
          <w:rFonts w:ascii="Times New Roman" w:hAnsi="Times New Roman"/>
          <w:color w:val="000000"/>
          <w:sz w:val="24"/>
          <w:u w:val="single"/>
        </w:rPr>
        <w:t>Section 8(a)(iv)</w:t>
      </w:r>
      <w:r>
        <w:rPr>
          <w:rFonts w:ascii="Times New Roman" w:hAnsi="Times New Roman"/>
          <w:color w:val="000000"/>
          <w:sz w:val="24"/>
        </w:rPr>
        <w:t>; and</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duly executed IRS Form W-9 for Seller.</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each Closing, the Company shall deliver to Seller:</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pPr>
      <w:r>
        <w:rPr>
          <w:rFonts w:ascii="Times New Roman" w:hAnsi="Times New Roman"/>
          <w:color w:val="000000"/>
          <w:sz w:val="24"/>
        </w:rPr>
        <w:t>by wire transfer(s), to an account or accounts designated by Seller prior to such Closing (the “</w:t>
      </w:r>
      <w:r>
        <w:rPr>
          <w:rFonts w:ascii="Times New Roman" w:hAnsi="Times New Roman"/>
          <w:b/>
          <w:i/>
          <w:color w:val="000000"/>
          <w:sz w:val="24"/>
        </w:rPr>
        <w:t>Seller Account</w:t>
      </w:r>
      <w:r>
        <w:rPr>
          <w:color w:val="000000"/>
        </w:rPr>
        <w:t>”</w:t>
      </w:r>
      <w:r>
        <w:rPr>
          <w:rFonts w:ascii="Times New Roman" w:hAnsi="Times New Roman"/>
          <w:color w:val="000000"/>
          <w:sz w:val="24"/>
        </w:rPr>
        <w:t xml:space="preserve">), immediately available funds in United States dollars in an aggregate amount equal to the Initial Closing Purchase Price, net of Transaction Costs and Expenses (to the extent not previously reimbursed by Seller) or Subsequent Closing Purchase Price, net of Transaction Costs and Expenses (to the extent not previously reimbursed by Seller), as applicable; and (ii) the certificate required to be delivered pursuant to </w:t>
      </w:r>
      <w:r>
        <w:rPr>
          <w:rFonts w:ascii="Times New Roman" w:hAnsi="Times New Roman"/>
          <w:color w:val="000000"/>
          <w:sz w:val="24"/>
          <w:u w:val="single"/>
        </w:rPr>
        <w:t>Section 8(b)(iv)</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Subsequent Closings</w:t>
      </w:r>
      <w:r>
        <w:rPr>
          <w:rFonts w:ascii="Times New Roman" w:hAnsi="Times New Roman"/>
          <w:color w:val="000000"/>
          <w:sz w:val="24"/>
        </w:rPr>
        <w:t>. In the event that prior to or after the Initial Closing, the Underwriters’ Option is exercised, in part or in full, the Company shall notify the Seller thereof and at such Subsequent Closing, purchase Subsequent Closing Repurchased Shares as further set forth herein, up to the Repurchase Limit. Each such Subsequent Closing shall be a “Closing” for all purposes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Representations of Seller</w:t>
      </w:r>
      <w:r>
        <w:rPr>
          <w:rFonts w:ascii="Times New Roman" w:hAnsi="Times New Roman"/>
          <w:color w:val="000000"/>
          <w:sz w:val="24"/>
        </w:rPr>
        <w:t>. In connection with the transactions contemplated hereby, Seller represents and warrants to the Company as of the date hereof and covenants and agrees that: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Seller is duly organized and existing under the laws of its jurisdiction of organization.</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consents, approvals, authorizations and orders necessary for the execution and delivery by Seller of this Agreement and for the sale and delivery of the Repurchased Shares to be sold by Seller hereunder, have been obtained, and Seller has full right, power and authority to enter into this Agreement and to sell, assign, transfer and deliver the Repurchased Shares to be sold by Seller hereunder.</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color w:val="000000"/>
          <w:sz w:val="24"/>
        </w:rPr>
        <w:t>This Agreement has been duly executed and delivered by Seller and constitutes a valid and binding agreement of Seller, enforceable in accordance with its terms, except to the extent that enforcement thereof may be limited by bankruptcy, insolvency, reorganization or other laws affecting enforcement of creditors’ rights or by general equitable principles (the “</w:t>
      </w:r>
      <w:r>
        <w:rPr>
          <w:rFonts w:ascii="Times New Roman" w:hAnsi="Times New Roman"/>
          <w:b/>
          <w:i/>
          <w:color w:val="000000"/>
          <w:sz w:val="24"/>
        </w:rPr>
        <w:t>Enforceability Exceptions</w:t>
      </w:r>
      <w:r>
        <w:rPr>
          <w:color w:val="00000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Repurchased Shares are duly authorized and validly issued, and Seller is the sole beneficial owner of, and has good and marketable title to, the Repurchased Shares, free and clear of any Liens or any other limitation or restriction (including any restriction on the right to vote, sell or otherwise dispose of the Repurchased Shares), and Seller will transfer and deliver to the Company at such Closing valid title to the Repurchased Shares, free and clear of any Lien or any other limitation or restriction. None of the Repurchased Shares are subject to any proxy, voting trust or other agreement or arrangement with respect to the voting of such Repurchased Shares.</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the execution, delivery and performance by Seller of this Agreement, nor the consummation by Seller of the transactions contemplated hereby or thereby will, or would reasonably be expected to (i) conflict with or result in any breach, violation or infringement of any </w:t>
      </w:r>
    </w:p>
    <w:p>
      <w:pPr>
        <w:pStyle w:val="TextBody"/>
        <w:bidi w:val="0"/>
        <w:jc w:val="left"/>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provision of the respective articles of incorporation or bylaws (or similar governing documents) of Seller, (ii) conflict with, result in a breach of or constitute (with or without due notice or lapse of time or both) a default (or give rise to the creation of any Lien or any right of termination, amendment, cancellation or acceleration) under any contract, indenture, lease, sublease, loan agreement or other agreement to which Seller is a party or by which any of Seller’s assets are bound, (iii) violate any Applicable Law (as defined below) or (iv) result in the creation or imposition of any Lien upon the Repurchased Shares, except, in the case of clause (ii) or clause (iii), as would not reasonably be excepted to have, individually or in the aggregate, a material adverse effect on Seller’s ability to perform its obligations hereunder.</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Seller’s knowledge, there is no action, suit, proceeding or investigation pending, or threatened, against Seller which (i) questions the validity of this Agreement or the right of Seller to enter into this Agreement or (ii) may, either individually or the aggregate, have a material adverse effect on Seller’s ability to perform its obligations hereunder.</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Seller acknowledges and agrees that, except as set forth in this Agreement, the Company is not making any express or implied warranties in connection with the Repurchase. Seller has such knowledge and experience in financial and business matters and in making investment decisions of this type that it is capable of evaluating the merits and risks of making its investment decision regarding the Repurchase and of making an informed investment decision. Seller has had opportunity to review the federal, state and local tax consequences of the Repurchase contemplated by this Agreement with its own tax advisors. Seller is relying solely on such advisors and not on any statements or representations of the Company or any of its agents. Seller understands that it (and not the Company) shall be responsible for its own tax liability, if any, that may arise as a result of the Repurchase.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Company Representations</w:t>
      </w:r>
      <w:r>
        <w:rPr>
          <w:rFonts w:ascii="Times New Roman" w:hAnsi="Times New Roman"/>
          <w:color w:val="000000"/>
          <w:sz w:val="24"/>
        </w:rPr>
        <w:t>. In connection with the transactions contemplated hereby, the Company represents and warrants as of the date hereof to Seller that: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a corporation duly organized and validly existing under the laws of the State of Delaware. The Company has the requisite corporate power and authority to execute, deliver and perform its obligations under this Agreement and to consummate the transactions contemplated hereby.</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has been duly authorized, executed and delivered by the Company and constitutes a valid and binding agreement of the Company enforceable in accordance with its terms, except to the extent that enforcement thereof may be limited by bankruptcy, insolvency, reorganization or other laws affecting enforcement of creditors’ rights or by general equitable principles.</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delivery and performance by the Company of this Agreement and the consummation of the transactions contemplated hereby and thereby are within the Company’s corporate powers and have been duly authorized by all necessary corporate or other organizational action on the part of the Company. This Agreement has been duly executed and delivered by the Company, will be duly executed and delivered by the Company. This Agreement constitutes the valid and legally binding obligation of the Company, enforceable against it in accordance with its terms, subject to the Enforceability Exceptions. No other organizational act or proceeding on the </w:t>
      </w:r>
    </w:p>
    <w:p>
      <w:pPr>
        <w:pStyle w:val="TextBody"/>
        <w:bidi w:val="0"/>
        <w:jc w:val="left"/>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 of the Company is necessary to authorize this Agreement to be executed, delivered and performed by the Company or the consummation of the transactions contemplated hereby and thereby.</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execution, delivery and performance by the Company of this Agreement, nor the consummation by the Company of the transactions contemplated hereby or thereby will, or would reasonably be expected to (i) conflict with or result in any breach, violation or infringement of any provision of the respective articles of incorporation or bylaws (or similar governing documents) of the Company or (ii) violate any Applicable Law, except, in the case of clause (ii), as would not reasonably be excepted to have, individually or in the aggregate, a material adverse effect on the Company’s ability to perform its obligations hereunder.</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Company’s knowledge, there is no action, suit, proceeding or investigation pending, or threatened, against the Company which (i) questions the validity of this Agreement or the right of the Company to enter into this Agreement or (ii) may, either individually or the aggregate, have a material adverse effect on the Company’s ability to perform its obligations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Conditions to Closings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color w:val="000000"/>
          <w:sz w:val="24"/>
          <w:u w:val="single"/>
        </w:rPr>
        <w:t>Conditions to Obligations of the Company</w:t>
      </w:r>
      <w:r>
        <w:rPr>
          <w:rFonts w:ascii="Times New Roman" w:hAnsi="Times New Roman"/>
          <w:color w:val="000000"/>
          <w:sz w:val="24"/>
        </w:rPr>
        <w:t>. The obligations of the Company to consummate each Closing are subject to the satisfaction, or waiver by the Company, of the following conditions:</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Registered Equity Offering shall have been consummated, except, with respect to the Initial Closing, for the Underwriters’ Option;</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both"/>
        <w:rPr/>
      </w:pPr>
      <w:r>
        <w:rPr>
          <w:rFonts w:ascii="Times New Roman" w:hAnsi="Times New Roman"/>
          <w:color w:val="000000"/>
          <w:sz w:val="24"/>
        </w:rPr>
        <w:t xml:space="preserve">the representations and warranties of Seller set forth in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shall be true and correct in all material respects as of the date hereof and as of such Closing Date, as if made at and as of such date, except (A) with respect to representations and warranties which speak as to an earlier date, which representations and warranties shall be true and correct in all material respects at and as of such date, and (B) where the failure of such representations and warranties to be true and correct would not reasonably be expected, individually or in the aggregate, to materially impair Seller’s ability to perform or comply with its obligations under this Agreement or consummate the transactions contemplated hereby; provided, that the representations and warranties set forth in </w:t>
      </w:r>
      <w:r>
        <w:rPr>
          <w:rFonts w:ascii="Times New Roman" w:hAnsi="Times New Roman"/>
          <w:color w:val="000000"/>
          <w:sz w:val="24"/>
          <w:u w:val="single"/>
        </w:rPr>
        <w:t>Section 6(c)</w:t>
      </w:r>
      <w:r>
        <w:rPr>
          <w:color w:val="000000"/>
        </w:rPr>
        <w:t xml:space="preserve"> </w:t>
      </w:r>
      <w:r>
        <w:rPr>
          <w:rFonts w:ascii="Times New Roman" w:hAnsi="Times New Roman"/>
          <w:color w:val="000000"/>
          <w:sz w:val="24"/>
        </w:rPr>
        <w:t>shall be true and correct in all respects;</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(iii)</w:t>
      </w:r>
    </w:p>
    <w:p>
      <w:pPr>
        <w:pStyle w:val="TextBody"/>
        <w:bidi w:val="0"/>
        <w:spacing w:before="0" w:after="240"/>
        <w:jc w:val="both"/>
        <w:rPr/>
      </w:pPr>
      <w:r>
        <w:rPr>
          <w:rFonts w:ascii="Times New Roman" w:hAnsi="Times New Roman"/>
          <w:color w:val="000000"/>
          <w:sz w:val="24"/>
        </w:rPr>
        <w:t xml:space="preserve">the covenants and agreements of Seller to be performed on or before the applicable Closing Date in accordance with this Agreement shall have been performed in all material respects; and (iv) the Company shall have received a certificate, dated as of the applicable Closing Date and signed on behalf of Seller by an executive officer of Seller, stating that the conditions specified in </w:t>
      </w:r>
      <w:r>
        <w:rPr>
          <w:rFonts w:ascii="Times New Roman" w:hAnsi="Times New Roman"/>
          <w:color w:val="000000"/>
          <w:sz w:val="24"/>
          <w:u w:val="single"/>
        </w:rPr>
        <w:t>Section 8(a)(ii)</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8(a)(iii)</w:t>
      </w:r>
      <w:r>
        <w:rPr>
          <w:color w:val="000000"/>
        </w:rPr>
        <w:t xml:space="preserve"> </w:t>
      </w:r>
      <w:r>
        <w:rPr>
          <w:rFonts w:ascii="Times New Roman" w:hAnsi="Times New Roman"/>
          <w:color w:val="000000"/>
          <w:sz w:val="24"/>
        </w:rPr>
        <w:t>have been satisfied.</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color w:val="000000"/>
          <w:sz w:val="24"/>
          <w:u w:val="single"/>
        </w:rPr>
        <w:t>Conditions to Obligations of Seller</w:t>
      </w:r>
      <w:r>
        <w:rPr>
          <w:rFonts w:ascii="Times New Roman" w:hAnsi="Times New Roman"/>
          <w:color w:val="000000"/>
          <w:sz w:val="24"/>
        </w:rPr>
        <w:t>. The obligations of Seller to consummate each Closing are subject to the satisfaction, or waiver by Seller, of the following conditions:</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Registered Equity Offering shall have been consummated, except, with respect to the Initial Closing, for the Underwriters’ Option;</w:t>
      </w:r>
    </w:p>
    <w:p>
      <w:pPr>
        <w:pStyle w:val="TextBody"/>
        <w:bidi w:val="0"/>
        <w:jc w:val="left"/>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both"/>
        <w:rPr/>
      </w:pPr>
      <w:r>
        <w:rPr>
          <w:rFonts w:ascii="Times New Roman" w:hAnsi="Times New Roman"/>
          <w:color w:val="000000"/>
          <w:sz w:val="24"/>
        </w:rPr>
        <w:t xml:space="preserve">the representations and warranties of the Company set forth in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shall be true and correct in all material respects as of the date hereof and as of such Closing Date, as if made at and as of such date, except (A) with respect to representations and warranties which speak as to an earlier date, which representations and warranties shall be true and correct in all material respects at and as of such date, and (B) where the failure of such representations and warranties to be true and correct would not reasonably be expected, individually or in the aggregate, to materially impair the Company’s ability to perform or comply with its obligations under this Agreement or consummate the transactions contemplated hereby;</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covenants and agreements of the Company to be performed on or before such Closing Date in accordance with this Agreement shall have been performed in all material respects; and </w:t>
      </w:r>
    </w:p>
    <w:p>
      <w:pPr>
        <w:pStyle w:val="TextBody"/>
        <w:bidi w:val="0"/>
        <w:spacing w:before="0" w:after="240"/>
        <w:ind w:left="0" w:right="0" w:firstLine="1440"/>
        <w:jc w:val="both"/>
        <w:rPr>
          <w:rFonts w:ascii="Times New Roman" w:hAnsi="Times New Roman"/>
          <w:color w:val="010000"/>
          <w:sz w:val="24"/>
        </w:rPr>
      </w:pPr>
      <w:r>
        <w:rPr>
          <w:rFonts w:ascii="Times New Roman" w:hAnsi="Times New Roman"/>
          <w:color w:val="010000"/>
          <w:sz w:val="24"/>
        </w:rPr>
        <w:t>(iv)</w:t>
      </w:r>
    </w:p>
    <w:p>
      <w:pPr>
        <w:pStyle w:val="TextBody"/>
        <w:bidi w:val="0"/>
        <w:spacing w:before="0" w:after="240"/>
        <w:jc w:val="both"/>
        <w:rPr/>
      </w:pPr>
      <w:r>
        <w:rPr>
          <w:rFonts w:ascii="Times New Roman" w:hAnsi="Times New Roman"/>
          <w:color w:val="000000"/>
          <w:sz w:val="24"/>
        </w:rPr>
        <w:t xml:space="preserve">Seller shall have received a certificate, dated as of such Closing Date and signed on behalf of the Company by an executive officer of the Company, stating that the conditions specified in </w:t>
      </w:r>
      <w:r>
        <w:rPr>
          <w:rFonts w:ascii="Times New Roman" w:hAnsi="Times New Roman"/>
          <w:color w:val="000000"/>
          <w:sz w:val="24"/>
          <w:u w:val="single"/>
        </w:rPr>
        <w:t>Sections 8(b)(i)-(iii)</w:t>
      </w:r>
      <w:r>
        <w:rPr>
          <w:color w:val="000000"/>
        </w:rPr>
        <w:t xml:space="preserve"> </w:t>
      </w:r>
      <w:r>
        <w:rPr>
          <w:rFonts w:ascii="Times New Roman" w:hAnsi="Times New Roman"/>
          <w:color w:val="000000"/>
          <w:sz w:val="24"/>
        </w:rPr>
        <w:t>have been satisfied.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Termination</w:t>
      </w:r>
      <w:r>
        <w:rPr>
          <w:rFonts w:ascii="Times New Roman" w:hAnsi="Times New Roman"/>
          <w:color w:val="000000"/>
          <w:sz w:val="24"/>
        </w:rPr>
        <w:t>. This Agreement may be terminated at any time by mutual written agreement of the Company and Seller. This Agreement shall automatically terminate and be of no further force and effect in the event that the Initial Closing has not occurred on or prior to May 15, 2026.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 xml:space="preserve">Taxes. </w:t>
      </w:r>
      <w:r>
        <w:rPr>
          <w:rFonts w:ascii="Times New Roman" w:hAnsi="Times New Roman"/>
          <w:color w:val="000000"/>
          <w:sz w:val="24"/>
        </w:rPr>
        <w:t>The Company does not expect that withholding taxes will be applicable. In the event that the Company does later reasonably conclude (in consultation with Seller) that it is applicable, notwithstanding any other provision in this Agreement, the Company and its agents and affiliates shall have the right to deduct and withhold taxes from any payments to be made to any Seller pursuant to this Agreement if, in their reasonable opinion in consultation with Seller, such withholding is required by law, and shall be provided with any necessary tax forms, and any similar information. To the extent that any of the aforementioned amounts are so withheld and paid to the applicable governmental authority, such withheld amounts shall be treated for all purposes of this Agreement as having been delivered and paid to the recipient of the payments in respect of which such deduction and withholding was made. To the extent that any payment pursuant to this Agreement is not reduced by any such required deduction or withholding, the Company may deduct and withhold with respect to any future payment to such person to cover such amounts. The Company and Seller agree to cooperate in good faith to reduce or eliminate any applicable withholding tax.</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sent via facsimile to the recipient. Such notices, demands and other communications will be sent to the address indicated below:</w:t>
      </w:r>
    </w:p>
    <w:p>
      <w:pPr>
        <w:pStyle w:val="TextBody"/>
        <w:bidi w:val="0"/>
        <w:jc w:val="left"/>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To Seller:</w:t>
      </w:r>
    </w:p>
    <w:p>
      <w:pPr>
        <w:pStyle w:val="TextBody"/>
        <w:bidi w:val="0"/>
        <w:ind w:left="1440" w:right="0" w:hanging="0"/>
        <w:jc w:val="left"/>
        <w:rPr>
          <w:rFonts w:ascii="Times New Roman" w:hAnsi="Times New Roman"/>
          <w:sz w:val="20"/>
        </w:rPr>
      </w:pPr>
      <w:r>
        <w:rPr>
          <w:rFonts w:ascii="Times New Roman" w:hAnsi="Times New Roman"/>
          <w:color w:val="000000"/>
          <w:sz w:val="24"/>
        </w:rPr>
        <w:t>Matrix Capital Management Master Fund, LP</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3 Pleasant Street, Suite 400</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Portsmouth, NH 03801</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Attention: Karan Takhar</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with a copy to (which shall not constitute notice):</w:t>
      </w:r>
    </w:p>
    <w:p>
      <w:pPr>
        <w:pStyle w:val="TextBody"/>
        <w:bidi w:val="0"/>
        <w:ind w:left="1440" w:right="0" w:hanging="0"/>
        <w:jc w:val="left"/>
        <w:rPr>
          <w:rFonts w:ascii="Times New Roman" w:hAnsi="Times New Roman"/>
          <w:sz w:val="20"/>
        </w:rPr>
      </w:pPr>
      <w:r>
        <w:rPr>
          <w:rFonts w:ascii="Times New Roman" w:hAnsi="Times New Roman"/>
          <w:color w:val="000000"/>
          <w:sz w:val="24"/>
        </w:rPr>
        <w:t>Paul, Weiss, Rifkind, Wharton &amp; Garrison LLP</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1285 6th Ave</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New York, NY 10019</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Attention: Chris Van Buren, Esq</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To the Company:</w:t>
      </w:r>
    </w:p>
    <w:p>
      <w:pPr>
        <w:pStyle w:val="TextBody"/>
        <w:bidi w:val="0"/>
        <w:ind w:left="1440" w:right="0" w:hanging="0"/>
        <w:jc w:val="left"/>
        <w:rPr>
          <w:rFonts w:ascii="Times New Roman" w:hAnsi="Times New Roman"/>
          <w:sz w:val="20"/>
        </w:rPr>
      </w:pPr>
      <w:r>
        <w:rPr>
          <w:rFonts w:ascii="Times New Roman" w:hAnsi="Times New Roman"/>
          <w:color w:val="000000"/>
          <w:sz w:val="24"/>
        </w:rPr>
        <w:t>Aura Biosciences, Inc.</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80 Guest Street</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Boston, MA 02135</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Attention: Conor Kilroy, Chief Legal Officer and Secretary</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4"/>
        </w:rPr>
        <w:t>with a copy to (which shall not constitute notice):</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Goodwin Procter LLP</w:t>
      </w:r>
    </w:p>
    <w:p>
      <w:pPr>
        <w:pStyle w:val="TextBody"/>
        <w:bidi w:val="0"/>
        <w:ind w:left="1440" w:right="0" w:hanging="0"/>
        <w:jc w:val="left"/>
        <w:rPr>
          <w:rFonts w:ascii="Times New Roman" w:hAnsi="Times New Roman"/>
          <w:sz w:val="20"/>
        </w:rPr>
      </w:pPr>
      <w:r>
        <w:rPr>
          <w:rFonts w:ascii="Times New Roman" w:hAnsi="Times New Roman"/>
          <w:color w:val="000000"/>
          <w:sz w:val="24"/>
        </w:rPr>
        <w:t>100 Northern Avenue</w:t>
      </w:r>
      <w:r>
        <w:rPr>
          <w:rFonts w:ascii="Times New Roman" w:hAnsi="Times New Roman"/>
          <w:color w:val="000000"/>
          <w:sz w:val="20"/>
        </w:rPr>
        <w:t xml:space="preserve"> </w:t>
      </w:r>
    </w:p>
    <w:p>
      <w:pPr>
        <w:pStyle w:val="TextBody"/>
        <w:bidi w:val="0"/>
        <w:ind w:left="1440" w:right="0" w:hanging="0"/>
        <w:jc w:val="left"/>
        <w:rPr>
          <w:rFonts w:ascii="Times New Roman" w:hAnsi="Times New Roman"/>
          <w:sz w:val="20"/>
        </w:rPr>
      </w:pPr>
      <w:r>
        <w:rPr>
          <w:rFonts w:ascii="Times New Roman" w:hAnsi="Times New Roman"/>
          <w:color w:val="000000"/>
          <w:sz w:val="24"/>
        </w:rPr>
        <w:t>Boston, MA 02210</w:t>
      </w:r>
      <w:r>
        <w:rPr>
          <w:rFonts w:ascii="Times New Roman" w:hAnsi="Times New Roman"/>
          <w:color w:val="000000"/>
          <w:sz w:val="20"/>
        </w:rPr>
        <w:t xml:space="preserve"> </w:t>
      </w:r>
    </w:p>
    <w:p>
      <w:pPr>
        <w:pStyle w:val="TextBody"/>
        <w:bidi w:val="0"/>
        <w:ind w:left="1440" w:right="0" w:hanging="0"/>
        <w:jc w:val="left"/>
        <w:rPr>
          <w:rFonts w:ascii="Times New Roman" w:hAnsi="Times New Roman"/>
          <w:color w:val="000000"/>
          <w:sz w:val="24"/>
        </w:rPr>
      </w:pPr>
      <w:r>
        <w:rPr>
          <w:rFonts w:ascii="Times New Roman" w:hAnsi="Times New Roman"/>
          <w:color w:val="000000"/>
          <w:sz w:val="24"/>
        </w:rPr>
        <w:t>Attention: Danielle Lauzon, Esq. and Stephanie A. Richards, Esq.</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such other address or to the attention of such other person as the recipient party shall have specified by prior written notice to the sending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Miscellaneous</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pPr>
      <w:r>
        <w:rPr>
          <w:rFonts w:ascii="Times New Roman" w:hAnsi="Times New Roman"/>
          <w:b/>
          <w:color w:val="000000"/>
          <w:sz w:val="24"/>
        </w:rPr>
        <w:t>Survival of Representations and Warranties</w:t>
      </w:r>
      <w:r>
        <w:rPr>
          <w:rFonts w:ascii="Times New Roman" w:hAnsi="Times New Roman"/>
          <w:color w:val="000000"/>
          <w:sz w:val="24"/>
        </w:rPr>
        <w:t>. All representations and warranties contained herein or made in writing by any party in connection herewith shall survive the execution and delivery of this Agreement and the consummation of the transactions contemplated hereby.</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pStyle w:val="TextBody"/>
        <w:bidi w:val="0"/>
        <w:jc w:val="left"/>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pPr>
      <w:r>
        <w:rPr>
          <w:rFonts w:ascii="Times New Roman" w:hAnsi="Times New Roman"/>
          <w:b/>
          <w:color w:val="000000"/>
          <w:sz w:val="24"/>
        </w:rPr>
        <w:t>Complete Agreement</w:t>
      </w:r>
      <w:r>
        <w:rPr>
          <w:rFonts w:ascii="Times New Roman" w:hAnsi="Times New Roman"/>
          <w:color w:val="000000"/>
          <w:sz w:val="24"/>
        </w:rPr>
        <w:t>. This Agreement and any other agreements ancillary thereto and executed and delivered on the date hereof embody the complete agreement and understanding between the parties and supersede and preempt any prior understandings, agreements, or representations by or among the parties, written or oral, which may have related to the subject matter hereof in any way.</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separate counterparts, each of which is deemed to be an original and all of which taken together constitute one and the same agreement.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pPr>
      <w:r>
        <w:rPr>
          <w:rFonts w:ascii="Times New Roman" w:hAnsi="Times New Roman"/>
          <w:b/>
          <w:color w:val="000000"/>
          <w:sz w:val="24"/>
        </w:rPr>
        <w:t>Assignment; Successors and Assigns</w:t>
      </w:r>
      <w:r>
        <w:rPr>
          <w:rFonts w:ascii="Times New Roman" w:hAnsi="Times New Roman"/>
          <w:color w:val="000000"/>
          <w:sz w:val="24"/>
        </w:rPr>
        <w:t>. Neither this Agreement nor any of the rights, interests or obligations hereunder shall be assigned, in whole or in part, by any of the parties without the prior written consent of the other parties. Subject to the preceding sentence, this Agreement shall bind and inure to the benefit of and be enforceable by Seller and the Company and their respective successors and permitted assigns. Any purported assignment not permitted under this paragraph shall be null and void.</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pPr>
      <w:r>
        <w:rPr>
          <w:rFonts w:ascii="Times New Roman" w:hAnsi="Times New Roman"/>
          <w:b/>
          <w:color w:val="000000"/>
          <w:sz w:val="24"/>
        </w:rPr>
        <w:t>No Third Party Beneficiaries or Other Rights</w:t>
      </w:r>
      <w:r>
        <w:rPr>
          <w:rFonts w:ascii="Times New Roman" w:hAnsi="Times New Roman"/>
          <w:color w:val="000000"/>
          <w:sz w:val="24"/>
        </w:rPr>
        <w:t>. This Agreement is for the sole benefit of the parties and their successors and permitted assigns and nothing herein express or implied shall give or shall be construed to confer any legal or equitable rights or remedies to any person other than the parties to this Agreement and such successors and permitted assigns.</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pPr>
      <w:r>
        <w:rPr>
          <w:rFonts w:ascii="Times New Roman" w:hAnsi="Times New Roman"/>
          <w:b/>
          <w:color w:val="000000"/>
          <w:sz w:val="24"/>
        </w:rPr>
        <w:t>Governing Law; Jurisdiction</w:t>
      </w:r>
      <w:r>
        <w:rPr>
          <w:rFonts w:ascii="Times New Roman" w:hAnsi="Times New Roman"/>
          <w:color w:val="000000"/>
          <w:sz w:val="24"/>
        </w:rPr>
        <w:t>. This Agreement and all disputes arising out of or related to this Agreement (whether in contract, tort or otherwise) will be governed by and construed in accordance with the laws of the State of New York. EACH OF THE PARTIES TO THIS AGREEMENT IRREVOCABLY WAIVES ANY AND ALL RIGHTS TO TRIAL BY JURY IN ANY LEGAL PROCEEDING ARISING OUT OF OR RELATED TO THIS AGREEMENT. Each of the parties (i) irrevocably submits to the personal jurisdiction of any state or federal court sitting in New York, New York, as well as to the jurisdiction of all courts to which an appeal may be taken from such courts, in any suit, action or proceeding relating to or arising out of, under or in connection with this Agreement, (ii) agrees that all claims in respect of such suit, action or proceeding, whether arising under contract, tort or otherwise, shall be brought, heard and determined exclusively in the federal court of the Southern District of New York (provided, that, in the event that subject matter jurisdiction is unavailable in that court, then all such claims shall be brought, heard and determined exclusively in any other state or federal court sitting in New York, New York), (iii) agrees that it shall not attempt to deny or defeat such personal jurisdiction by motion or other request for leave from such court, and (iv) agrees not to bring any action or proceeding relating to or arising out of, under or in connection with this Agreement or the Company’s business or affairs in any other court, tribunal, forum or proceeding. Each of the parties waives any defense of inconvenient forum to the maintenance of any action or proceeding brought in accordance with this paragraph. Each of the parties agrees that service of any process, summons, notice or document by U.S. registered mail to its address set forth herein shall be effective service of process for any action, suit or proceeding brought against it in accordance with this paragraph, provided, that nothing in the foregoing sentence shall affect the right of any party to serve legal process in any other manner permitted by law.</w:t>
      </w:r>
    </w:p>
    <w:p>
      <w:pPr>
        <w:pStyle w:val="TextBody"/>
        <w:bidi w:val="0"/>
        <w:jc w:val="left"/>
        <w:rPr>
          <w:rFonts w:ascii="Times New Roman" w:hAnsi="Times New Roman"/>
          <w:sz w:val="20"/>
        </w:rPr>
      </w:pPr>
      <w:r>
        <w:rPr>
          <w:rFonts w:ascii="Times New Roman" w:hAnsi="Times New Roman"/>
          <w:color w:val="000000"/>
          <w:sz w:val="24"/>
        </w:rPr>
        <w:t>8</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pPr>
      <w:r>
        <w:rPr>
          <w:rFonts w:ascii="Times New Roman" w:hAnsi="Times New Roman"/>
          <w:b/>
          <w:color w:val="000000"/>
          <w:sz w:val="24"/>
        </w:rPr>
        <w:t>Mutuality of Drafting</w:t>
      </w:r>
      <w:r>
        <w:rPr>
          <w:rFonts w:ascii="Times New Roman" w:hAnsi="Times New Roman"/>
          <w:color w:val="000000"/>
          <w:sz w:val="24"/>
        </w:rPr>
        <w:t>. The parties have participated jointly in the negotiation and drafting of this Agreement. In the event an ambiguity or question of intent or interpretation arises, this Agreement shall be construed as jointly drafted by the parties, and no presumption or burden of proof shall arise favoring or disfavoring any party by virtue of the authorship of any provision of the Agreement.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pPr>
      <w:r>
        <w:rPr>
          <w:rFonts w:ascii="Times New Roman" w:hAnsi="Times New Roman"/>
          <w:b/>
          <w:color w:val="000000"/>
          <w:sz w:val="24"/>
        </w:rPr>
        <w:t>Remedies</w:t>
      </w:r>
      <w:r>
        <w:rPr>
          <w:rFonts w:ascii="Times New Roman" w:hAnsi="Times New Roman"/>
          <w:color w:val="000000"/>
          <w:sz w:val="24"/>
        </w:rPr>
        <w:t>. The parties hereto agree and acknowledge that money damages will not be an adequate remedy for any breach of the provisions of this Agreement, that any breach of the provisions of this Agreement shall cause the other parties irreparable harm, and that any party may in its sole discretion apply to any court of law or equity of competent jurisdiction (without posting any bond or deposit) for specific performance or other injunctive relief in order to enforce, or prevent any violations of, the provisions of this Agreement.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both"/>
        <w:rPr/>
      </w:pPr>
      <w:r>
        <w:rPr>
          <w:rFonts w:ascii="Times New Roman" w:hAnsi="Times New Roman"/>
          <w:b/>
          <w:color w:val="000000"/>
          <w:sz w:val="24"/>
        </w:rPr>
        <w:t>Amendment and Waiver</w:t>
      </w:r>
      <w:r>
        <w:rPr>
          <w:rFonts w:ascii="Times New Roman" w:hAnsi="Times New Roman"/>
          <w:color w:val="000000"/>
          <w:sz w:val="24"/>
        </w:rPr>
        <w:t>. The provisions of this Agreement may be amended, modified or waived only with the prior written consent of the Company and Seller, provided that any provision hereof may be waived by any waiving party on such party’s own behalf, without the consent of any other party. No waiver of any of the provisions of this Agreement shall be deemed to be or shall constitute a waiver of any other provision of this Agreement, nor shall any waiver constitute a continuing waiver of such provision. Moreover, the failure by any party to insist upon strict performance of any of the provisions of this Agreement or to exercise any right or remedy arising out of a breach thereof shall not constitute a waiver of any other provision or any other breach of this Agreement.</w:t>
      </w:r>
    </w:p>
    <w:p>
      <w:pPr>
        <w:pStyle w:val="TextBody"/>
        <w:bidi w:val="0"/>
        <w:spacing w:before="0" w:after="240"/>
        <w:ind w:left="0" w:right="0" w:firstLine="720"/>
        <w:jc w:val="both"/>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Each of the Company and Seller shall execute and deliver such additional documents and instruments and shall take such further action as may be necessary or appropriate to effectuate fully the provisions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w:t>
      </w:r>
    </w:p>
    <w:p>
      <w:pPr>
        <w:pStyle w:val="TextBody"/>
        <w:bidi w:val="0"/>
        <w:spacing w:before="0" w:after="240"/>
        <w:ind w:left="0" w:right="0" w:firstLine="720"/>
        <w:jc w:val="both"/>
        <w:rPr/>
      </w:pPr>
      <w:r>
        <w:rPr>
          <w:color w:val="000000"/>
        </w:rPr>
        <w:t>“</w:t>
      </w:r>
      <w:r>
        <w:rPr>
          <w:rFonts w:ascii="Times New Roman" w:hAnsi="Times New Roman"/>
          <w:b/>
          <w:i/>
          <w:color w:val="000000"/>
          <w:sz w:val="24"/>
        </w:rPr>
        <w:t>Allocated Net Proceeds</w:t>
      </w:r>
      <w:r>
        <w:rPr>
          <w:rFonts w:ascii="Times New Roman" w:hAnsi="Times New Roman"/>
          <w:color w:val="000000"/>
          <w:sz w:val="20"/>
        </w:rPr>
        <w:t xml:space="preserve">” </w:t>
      </w:r>
      <w:r>
        <w:rPr>
          <w:rFonts w:ascii="Times New Roman" w:hAnsi="Times New Roman"/>
          <w:color w:val="000000"/>
          <w:sz w:val="24"/>
        </w:rPr>
        <w:t xml:space="preserve">means (a) the total gross proceeds set forth on the cover of the final prospectus supplement for the Registered Equity Offering, excluding the Underwriters’ Option, </w:t>
      </w:r>
      <w:r>
        <w:rPr>
          <w:rFonts w:ascii="Times New Roman" w:hAnsi="Times New Roman"/>
          <w:i/>
          <w:color w:val="000000"/>
          <w:sz w:val="24"/>
        </w:rPr>
        <w:t xml:space="preserve">minus </w:t>
      </w:r>
      <w:r>
        <w:rPr>
          <w:rFonts w:ascii="Times New Roman" w:hAnsi="Times New Roman"/>
          <w:color w:val="000000"/>
          <w:sz w:val="24"/>
        </w:rPr>
        <w:t xml:space="preserve">(b) the amount of the aggregate underwriting discount in the Registered Equity Offering related to such allocation, </w:t>
      </w:r>
      <w:r>
        <w:rPr>
          <w:rFonts w:ascii="Times New Roman" w:hAnsi="Times New Roman"/>
          <w:i/>
          <w:color w:val="000000"/>
          <w:sz w:val="24"/>
        </w:rPr>
        <w:t xml:space="preserve">minus </w:t>
      </w:r>
      <w:r>
        <w:rPr>
          <w:rFonts w:ascii="Times New Roman" w:hAnsi="Times New Roman"/>
          <w:color w:val="000000"/>
          <w:sz w:val="24"/>
        </w:rPr>
        <w:t>(c) $200.0 million (the “</w:t>
      </w:r>
      <w:r>
        <w:rPr>
          <w:rFonts w:ascii="Times New Roman" w:hAnsi="Times New Roman"/>
          <w:b/>
          <w:i/>
          <w:color w:val="000000"/>
          <w:sz w:val="24"/>
        </w:rPr>
        <w:t>Company Threshold Amount</w:t>
      </w:r>
      <w:r>
        <w:rPr>
          <w:rFonts w:ascii="Times New Roman" w:hAnsi="Times New Roman"/>
          <w:color w:val="000000"/>
          <w:sz w:val="20"/>
        </w:rPr>
        <w:t>”</w:t>
      </w:r>
      <w:r>
        <w:rPr>
          <w:rFonts w:ascii="Times New Roman" w:hAnsi="Times New Roman"/>
          <w:color w:val="000000"/>
          <w:sz w:val="24"/>
        </w:rPr>
        <w:t>). In no event shall the Repurchased Shares exceed 6,922,870 shares (the “</w:t>
      </w:r>
      <w:r>
        <w:rPr>
          <w:rFonts w:ascii="Times New Roman" w:hAnsi="Times New Roman"/>
          <w:b/>
          <w:i/>
          <w:color w:val="000000"/>
          <w:sz w:val="24"/>
        </w:rPr>
        <w:t>Repurchase Limit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pPr>
      <w:r>
        <w:rPr>
          <w:color w:val="000000"/>
        </w:rPr>
        <w:t>“</w:t>
      </w:r>
      <w:r>
        <w:rPr>
          <w:rFonts w:ascii="Times New Roman" w:hAnsi="Times New Roman"/>
          <w:b/>
          <w:i/>
          <w:color w:val="000000"/>
          <w:sz w:val="24"/>
        </w:rPr>
        <w:t>Allocated Shoe Proceeds</w:t>
      </w:r>
      <w:r>
        <w:rPr>
          <w:rFonts w:ascii="Times New Roman" w:hAnsi="Times New Roman"/>
          <w:color w:val="000000"/>
          <w:sz w:val="20"/>
        </w:rPr>
        <w:t xml:space="preserve">” </w:t>
      </w:r>
      <w:r>
        <w:rPr>
          <w:rFonts w:ascii="Times New Roman" w:hAnsi="Times New Roman"/>
          <w:color w:val="000000"/>
          <w:sz w:val="24"/>
        </w:rPr>
        <w:t xml:space="preserve">means (a) the total gross proceeds set forth on the cover of the final prospectus supplement for the Registered Equity Offering related to the Underwriters’ Option, to the extent actually exercised by the underwriters, </w:t>
      </w:r>
      <w:r>
        <w:rPr>
          <w:rFonts w:ascii="Times New Roman" w:hAnsi="Times New Roman"/>
          <w:i/>
          <w:color w:val="000000"/>
          <w:sz w:val="24"/>
        </w:rPr>
        <w:t xml:space="preserve">minus </w:t>
      </w:r>
      <w:r>
        <w:rPr>
          <w:rFonts w:ascii="Times New Roman" w:hAnsi="Times New Roman"/>
          <w:color w:val="000000"/>
          <w:sz w:val="24"/>
        </w:rPr>
        <w:t xml:space="preserve">(c) the amount of the aggregate underwriting discount in the Registered Equity Offering related to such allocation;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proceeds related to the Underwriters’ Option shall be deemed Allocated Shoe Proceeds if and until the Company has received net proceeds in the Registered Equity Offering equal to the Company Threshold Amount.</w:t>
      </w:r>
    </w:p>
    <w:p>
      <w:pPr>
        <w:pStyle w:val="TextBody"/>
        <w:bidi w:val="0"/>
        <w:spacing w:before="0" w:after="240"/>
        <w:ind w:left="0" w:right="0" w:firstLine="720"/>
        <w:jc w:val="both"/>
        <w:rPr/>
      </w:pPr>
      <w:r>
        <w:rPr>
          <w:color w:val="000000"/>
        </w:rPr>
        <w:t>“</w:t>
      </w:r>
      <w:r>
        <w:rPr>
          <w:rFonts w:ascii="Times New Roman" w:hAnsi="Times New Roman"/>
          <w:b/>
          <w:i/>
          <w:color w:val="000000"/>
          <w:sz w:val="24"/>
        </w:rPr>
        <w:t>Applicable Law</w:t>
      </w:r>
      <w:r>
        <w:rPr>
          <w:rFonts w:ascii="Times New Roman" w:hAnsi="Times New Roman"/>
          <w:color w:val="000000"/>
          <w:sz w:val="20"/>
        </w:rPr>
        <w:t xml:space="preserve">” </w:t>
      </w:r>
      <w:r>
        <w:rPr>
          <w:rFonts w:ascii="Times New Roman" w:hAnsi="Times New Roman"/>
          <w:color w:val="000000"/>
          <w:sz w:val="24"/>
        </w:rPr>
        <w:t>means, with respect to any Person (as defined below),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defined below) that is binding upon or applicable to such Person, as amended unless expressly specified otherwise.</w:t>
      </w:r>
    </w:p>
    <w:p>
      <w:pPr>
        <w:pStyle w:val="TextBody"/>
        <w:bidi w:val="0"/>
        <w:spacing w:before="0" w:after="240"/>
        <w:ind w:left="0" w:right="0" w:firstLine="720"/>
        <w:jc w:val="both"/>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 day, other than Saturday, Sunday or other day on which commercial banks in New York, New York are authorized or required by Applicable Law to close.</w:t>
      </w:r>
    </w:p>
    <w:p>
      <w:pPr>
        <w:pStyle w:val="TextBody"/>
        <w:bidi w:val="0"/>
        <w:spacing w:before="0" w:after="240"/>
        <w:ind w:left="0" w:right="0" w:firstLine="720"/>
        <w:jc w:val="both"/>
        <w:rPr/>
      </w:pPr>
      <w:r>
        <w:rPr>
          <w:color w:val="000000"/>
        </w:rPr>
        <w:t>“</w:t>
      </w:r>
      <w:r>
        <w:rPr>
          <w:rFonts w:ascii="Times New Roman" w:hAnsi="Times New Roman"/>
          <w:b/>
          <w:i/>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transnational, domestic or foreign federal, state or local governmental, regulatory or administrative authority, department, court, agency or official, including any political subdivision thereof.</w:t>
      </w:r>
    </w:p>
    <w:p>
      <w:pPr>
        <w:pStyle w:val="TextBody"/>
        <w:bidi w:val="0"/>
        <w:spacing w:before="0" w:after="240"/>
        <w:ind w:left="0" w:right="0" w:firstLine="720"/>
        <w:jc w:val="both"/>
        <w:rPr/>
      </w:pPr>
      <w:r>
        <w:rPr>
          <w:color w:val="000000"/>
        </w:rPr>
        <w:t>“</w:t>
      </w:r>
      <w:r>
        <w:rPr>
          <w:rFonts w:ascii="Times New Roman" w:hAnsi="Times New Roman"/>
          <w:b/>
          <w:i/>
          <w:color w:val="000000"/>
          <w:sz w:val="24"/>
        </w:rPr>
        <w:t>Initial Closing Repurchased Shares</w:t>
      </w:r>
      <w:r>
        <w:rPr>
          <w:rFonts w:ascii="Times New Roman" w:hAnsi="Times New Roman"/>
          <w:color w:val="000000"/>
          <w:sz w:val="20"/>
        </w:rPr>
        <w:t xml:space="preserve">” </w:t>
      </w:r>
      <w:r>
        <w:rPr>
          <w:rFonts w:ascii="Times New Roman" w:hAnsi="Times New Roman"/>
          <w:color w:val="000000"/>
          <w:sz w:val="24"/>
        </w:rPr>
        <w:t xml:space="preserve">means, subject to the Repurchase Limit, the number of shares of Common Stock equal to (i) the Allocated Net Proceeds, </w:t>
      </w:r>
      <w:r>
        <w:rPr>
          <w:rFonts w:ascii="Times New Roman" w:hAnsi="Times New Roman"/>
          <w:i/>
          <w:color w:val="000000"/>
          <w:sz w:val="24"/>
        </w:rPr>
        <w:t xml:space="preserve">divided by </w:t>
      </w:r>
      <w:r>
        <w:rPr>
          <w:rFonts w:ascii="Times New Roman" w:hAnsi="Times New Roman"/>
          <w:color w:val="000000"/>
          <w:sz w:val="24"/>
        </w:rPr>
        <w:t>(ii) the Net Public Offering Price Per Share, which number of shares of Common Stock shall be designated in writing by the Company to Seller prior to the Initial Closing.</w:t>
      </w:r>
    </w:p>
    <w:p>
      <w:pPr>
        <w:pStyle w:val="TextBody"/>
        <w:bidi w:val="0"/>
        <w:spacing w:before="0" w:after="240"/>
        <w:ind w:left="0" w:right="0" w:firstLine="720"/>
        <w:jc w:val="both"/>
        <w:rPr/>
      </w:pPr>
      <w:r>
        <w:rPr>
          <w:color w:val="000000"/>
        </w:rPr>
        <w:t>“</w:t>
      </w:r>
      <w:r>
        <w:rPr>
          <w:rFonts w:ascii="Times New Roman" w:hAnsi="Times New Roman"/>
          <w:b/>
          <w:i/>
          <w:color w:val="000000"/>
          <w:sz w:val="24"/>
        </w:rPr>
        <w:t>Lien</w:t>
      </w:r>
      <w:r>
        <w:rPr>
          <w:rFonts w:ascii="Times New Roman" w:hAnsi="Times New Roman"/>
          <w:color w:val="000000"/>
          <w:sz w:val="20"/>
        </w:rPr>
        <w:t xml:space="preserve">” </w:t>
      </w:r>
      <w:r>
        <w:rPr>
          <w:rFonts w:ascii="Times New Roman" w:hAnsi="Times New Roman"/>
          <w:color w:val="000000"/>
          <w:sz w:val="24"/>
        </w:rPr>
        <w:t>means any mortgage, lien, pledge, charge, security interest, licenses, restrictions on transfer (other than restrictions on transfer arising under applicable securities laws), encumbrance or other adverse claim of any kind in respect of such property or asset. For the purposes 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pStyle w:val="TextBody"/>
        <w:bidi w:val="0"/>
        <w:spacing w:before="0" w:after="240"/>
        <w:ind w:left="0" w:right="0" w:firstLine="72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corporation, partnership, limited liability company, association, trust or other entity or organization, including a Governmental Authority.</w:t>
      </w:r>
    </w:p>
    <w:p>
      <w:pPr>
        <w:pStyle w:val="TextBody"/>
        <w:bidi w:val="0"/>
        <w:spacing w:before="0" w:after="240"/>
        <w:ind w:left="0" w:right="0" w:firstLine="720"/>
        <w:jc w:val="both"/>
        <w:rPr/>
      </w:pPr>
      <w:r>
        <w:rPr>
          <w:color w:val="000000"/>
        </w:rPr>
        <w:t>“</w:t>
      </w:r>
      <w:r>
        <w:rPr>
          <w:rFonts w:ascii="Times New Roman" w:hAnsi="Times New Roman"/>
          <w:b/>
          <w:i/>
          <w:color w:val="000000"/>
          <w:sz w:val="24"/>
        </w:rPr>
        <w:t>Repurchased Shares</w:t>
      </w:r>
      <w:r>
        <w:rPr>
          <w:rFonts w:ascii="Times New Roman" w:hAnsi="Times New Roman"/>
          <w:color w:val="000000"/>
          <w:sz w:val="20"/>
        </w:rPr>
        <w:t xml:space="preserve">” </w:t>
      </w:r>
      <w:r>
        <w:rPr>
          <w:rFonts w:ascii="Times New Roman" w:hAnsi="Times New Roman"/>
          <w:color w:val="000000"/>
          <w:sz w:val="24"/>
        </w:rPr>
        <w:t>means the Initial Closing Repurchased Shares and the Subsequent Closing Repurchased Shares.</w:t>
      </w:r>
    </w:p>
    <w:p>
      <w:pPr>
        <w:pStyle w:val="TextBody"/>
        <w:bidi w:val="0"/>
        <w:spacing w:before="0" w:after="240"/>
        <w:ind w:left="0" w:right="0" w:firstLine="720"/>
        <w:jc w:val="both"/>
        <w:rPr/>
      </w:pPr>
      <w:r>
        <w:rPr>
          <w:color w:val="000000"/>
        </w:rPr>
        <w:t>“</w:t>
      </w:r>
      <w:r>
        <w:rPr>
          <w:rFonts w:ascii="Times New Roman" w:hAnsi="Times New Roman"/>
          <w:b/>
          <w:i/>
          <w:color w:val="000000"/>
          <w:sz w:val="24"/>
        </w:rPr>
        <w:t>Subsequent Closing Repurchased Shares</w:t>
      </w:r>
      <w:r>
        <w:rPr>
          <w:rFonts w:ascii="Times New Roman" w:hAnsi="Times New Roman"/>
          <w:color w:val="000000"/>
          <w:sz w:val="20"/>
        </w:rPr>
        <w:t xml:space="preserve">” </w:t>
      </w:r>
      <w:r>
        <w:rPr>
          <w:rFonts w:ascii="Times New Roman" w:hAnsi="Times New Roman"/>
          <w:color w:val="000000"/>
          <w:sz w:val="24"/>
        </w:rPr>
        <w:t xml:space="preserve">means, subject to the Repurchase Limit, the number of shares of Common Stock equal to (i) the Allocated Shoe Proceeds, </w:t>
      </w:r>
      <w:r>
        <w:rPr>
          <w:rFonts w:ascii="Times New Roman" w:hAnsi="Times New Roman"/>
          <w:i/>
          <w:color w:val="000000"/>
          <w:sz w:val="24"/>
        </w:rPr>
        <w:t xml:space="preserve">divided by </w:t>
      </w:r>
      <w:r>
        <w:rPr>
          <w:rFonts w:ascii="Times New Roman" w:hAnsi="Times New Roman"/>
          <w:color w:val="000000"/>
          <w:sz w:val="24"/>
        </w:rPr>
        <w:t>(ii) the Net Public Offering Price Per Share, which number of shares of Common Stock shall be designated in writing by the Company to Seller prior to each Subsequent Closing.</w:t>
      </w:r>
    </w:p>
    <w:p>
      <w:pPr>
        <w:pStyle w:val="TextBody"/>
        <w:bidi w:val="0"/>
        <w:spacing w:before="0" w:after="240"/>
        <w:ind w:left="0" w:right="0" w:firstLine="720"/>
        <w:jc w:val="both"/>
        <w:rPr/>
      </w:pPr>
      <w:r>
        <w:rPr>
          <w:color w:val="000000"/>
        </w:rPr>
        <w:t>“</w:t>
      </w:r>
      <w:r>
        <w:rPr>
          <w:rFonts w:ascii="Times New Roman" w:hAnsi="Times New Roman"/>
          <w:b/>
          <w:i/>
          <w:color w:val="000000"/>
          <w:sz w:val="24"/>
        </w:rPr>
        <w:t>Underwriters’ Option</w:t>
      </w:r>
      <w:r>
        <w:rPr>
          <w:rFonts w:ascii="Times New Roman" w:hAnsi="Times New Roman"/>
          <w:color w:val="000000"/>
          <w:sz w:val="20"/>
        </w:rPr>
        <w:t xml:space="preserve">” </w:t>
      </w:r>
      <w:r>
        <w:rPr>
          <w:rFonts w:ascii="Times New Roman" w:hAnsi="Times New Roman"/>
          <w:color w:val="000000"/>
          <w:sz w:val="24"/>
        </w:rPr>
        <w:t>means the option granted by the Company to the underwriters in the Registered Equity Offering to purchase additional shares of Common Stock within 30 days from the date of the final prospectus supplement relating to the Registered Equity Offering, which, for clarity, may be exercised in whole or in part.</w:t>
      </w:r>
    </w:p>
    <w:p>
      <w:pPr>
        <w:pStyle w:val="TextBody"/>
        <w:bidi w:val="0"/>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10</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IN WITNESS WHEREOF, the parties hereto have executed this Purchase Agreement on the date first written above.</w:t>
      </w:r>
    </w:p>
    <w:p>
      <w:pPr>
        <w:pStyle w:val="TextBody"/>
        <w:bidi w:val="0"/>
        <w:spacing w:before="0" w:after="240"/>
        <w:ind w:left="4320" w:right="0" w:hanging="0"/>
        <w:jc w:val="left"/>
        <w:rPr>
          <w:rFonts w:ascii="Times New Roman" w:hAnsi="Times New Roman"/>
          <w:b/>
          <w:color w:val="000000"/>
          <w:sz w:val="24"/>
        </w:rPr>
      </w:pPr>
      <w:r>
        <w:rPr>
          <w:rFonts w:ascii="Times New Roman" w:hAnsi="Times New Roman"/>
          <w:b/>
          <w:color w:val="000000"/>
          <w:sz w:val="24"/>
        </w:rPr>
        <w:t>Company:</w:t>
      </w:r>
    </w:p>
    <w:p>
      <w:pPr>
        <w:pStyle w:val="TextBody"/>
        <w:bidi w:val="0"/>
        <w:spacing w:before="0" w:after="480"/>
        <w:ind w:left="4320" w:right="0" w:hanging="0"/>
        <w:jc w:val="left"/>
        <w:rPr>
          <w:rFonts w:ascii="Times New Roman" w:hAnsi="Times New Roman"/>
          <w:b/>
          <w:color w:val="000000"/>
          <w:sz w:val="24"/>
        </w:rPr>
      </w:pPr>
      <w:r>
        <w:rPr>
          <w:rFonts w:ascii="Times New Roman" w:hAnsi="Times New Roman"/>
          <w:b/>
          <w:color w:val="000000"/>
          <w:sz w:val="24"/>
        </w:rPr>
        <w:t>AURA BIOSCIENCES, INC.</w:t>
      </w:r>
    </w:p>
    <w:p>
      <w:pPr>
        <w:pStyle w:val="TextBody"/>
        <w:bidi w:val="0"/>
        <w:ind w:left="432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Anthony Gibney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Name: Anthony Gibney</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Title: Chief Financial and Business Officer</w:t>
      </w:r>
    </w:p>
    <w:p>
      <w:pPr>
        <w:pStyle w:val="TextBody"/>
        <w:bidi w:val="0"/>
        <w:jc w:val="left"/>
        <w:rPr>
          <w:rFonts w:ascii="Times New Roman" w:hAnsi="Times New Roman"/>
          <w:i/>
          <w:color w:val="000000"/>
          <w:sz w:val="24"/>
        </w:rPr>
      </w:pPr>
      <w:r>
        <w:rPr>
          <w:rFonts w:ascii="Times New Roman" w:hAnsi="Times New Roman"/>
          <w:i/>
          <w:color w:val="000000"/>
          <w:sz w:val="24"/>
        </w:rPr>
        <w:t xml:space="preserve">[Company’s Signature Page to Stock Purchase Agreement]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IN WITNESS WHEREOF, the parties hereto have executed this Purchase Agreement on the date first written above.</w:t>
      </w:r>
    </w:p>
    <w:p>
      <w:pPr>
        <w:pStyle w:val="TextBody"/>
        <w:bidi w:val="0"/>
        <w:spacing w:before="0" w:after="240"/>
        <w:ind w:left="4320" w:right="0" w:hanging="0"/>
        <w:jc w:val="left"/>
        <w:rPr>
          <w:rFonts w:ascii="Times New Roman" w:hAnsi="Times New Roman"/>
          <w:b/>
          <w:color w:val="000000"/>
          <w:sz w:val="24"/>
        </w:rPr>
      </w:pPr>
      <w:r>
        <w:rPr>
          <w:rFonts w:ascii="Times New Roman" w:hAnsi="Times New Roman"/>
          <w:b/>
          <w:color w:val="000000"/>
          <w:sz w:val="24"/>
        </w:rPr>
        <w:t>Seller:</w:t>
      </w:r>
    </w:p>
    <w:p>
      <w:pPr>
        <w:pStyle w:val="TextBody"/>
        <w:bidi w:val="0"/>
        <w:spacing w:before="0" w:after="480"/>
        <w:ind w:left="4320" w:right="0" w:hanging="0"/>
        <w:jc w:val="left"/>
        <w:rPr>
          <w:rFonts w:ascii="Times New Roman" w:hAnsi="Times New Roman"/>
          <w:b/>
          <w:color w:val="000000"/>
          <w:sz w:val="24"/>
        </w:rPr>
      </w:pPr>
      <w:r>
        <w:rPr>
          <w:rFonts w:ascii="Times New Roman" w:hAnsi="Times New Roman"/>
          <w:b/>
          <w:color w:val="000000"/>
          <w:sz w:val="24"/>
        </w:rPr>
        <w:t>MATRIX CAPITAL MANAGEMENT MASTER FUND, LP</w:t>
      </w:r>
    </w:p>
    <w:p>
      <w:pPr>
        <w:pStyle w:val="TextBody"/>
        <w:bidi w:val="0"/>
        <w:ind w:left="432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Karan Takhar </w:t>
      </w:r>
    </w:p>
    <w:p>
      <w:pPr>
        <w:pStyle w:val="TextBody"/>
        <w:bidi w:val="0"/>
        <w:ind w:left="4320" w:right="0" w:hanging="0"/>
        <w:jc w:val="left"/>
        <w:rPr>
          <w:rFonts w:ascii="Times New Roman" w:hAnsi="Times New Roman"/>
          <w:sz w:val="20"/>
        </w:rPr>
      </w:pPr>
      <w:r>
        <w:rPr>
          <w:rFonts w:ascii="Times New Roman" w:hAnsi="Times New Roman"/>
          <w:color w:val="000000"/>
          <w:sz w:val="24"/>
        </w:rPr>
        <w:t>Name: Karan Takhar</w:t>
      </w:r>
      <w:r>
        <w:rPr>
          <w:rFonts w:ascii="Times New Roman" w:hAnsi="Times New Roman"/>
          <w:color w:val="000000"/>
          <w:sz w:val="20"/>
        </w:rPr>
        <w:t xml:space="preserve">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Title: Senior Managing Director</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 xml:space="preserve">[Company’s Signature Page to Stock Purchase Agreement] </w:t>
      </w:r>
    </w:p>
    <w:p>
      <w:pPr>
        <w:pStyle w:val="HorizontalLine"/>
        <w:pBdr>
          <w:bottom w:val="double" w:sz="2" w:space="0" w:color="808080"/>
        </w:pBdr>
        <w:bidi w:val="0"/>
        <w:spacing w:before="0" w:after="283"/>
        <w:jc w:val="left"/>
        <w:rPr/>
      </w:pPr>
      <w:r>
        <w:rPr/>
      </w:r>
    </w:p>
    <w:p>
      <w:pPr>
        <w:pStyle w:val="TextBody"/>
        <w:bidi w:val="0"/>
        <w:jc w:val="left"/>
        <w:rPr/>
      </w:pPr>
      <w:bookmarkStart w:id="35" w:name="aura-ex31_1.htm"/>
      <w:bookmarkStart w:id="36" w:name="ksauraex31_1"/>
      <w:bookmarkEnd w:id="35"/>
      <w:bookmarkEnd w:id="36"/>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Natalie Holles,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0" w:right="0" w:firstLine="490"/>
        <w:jc w:val="left"/>
        <w:rPr/>
      </w:pPr>
      <w:r>
        <w:rPr/>
        <w:t> </w:t>
      </w:r>
    </w:p>
    <w:p>
      <w:pPr>
        <w:pStyle w:val="TextBody"/>
        <w:bidi w:val="0"/>
        <w:ind w:left="0" w:right="0" w:firstLine="490"/>
        <w:jc w:val="left"/>
        <w:rPr>
          <w:rFonts w:ascii="Times New Roman" w:hAnsi="Times New Roman"/>
          <w:sz w:val="20"/>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5719" w:type="dxa"/>
        <w:jc w:val="left"/>
        <w:tblInd w:w="0" w:type="dxa"/>
        <w:tblLayout w:type="fixed"/>
        <w:tblCellMar>
          <w:top w:w="28" w:type="dxa"/>
          <w:left w:w="28" w:type="dxa"/>
          <w:bottom w:w="28" w:type="dxa"/>
          <w:right w:w="28" w:type="dxa"/>
        </w:tblCellMar>
      </w:tblPr>
      <w:tblGrid>
        <w:gridCol w:w="556"/>
        <w:gridCol w:w="1441"/>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18"/>
              </w:rPr>
              <w:t>Chief Executive Officer and President</w:t>
            </w:r>
            <w:r>
              <w:rPr>
                <w:rFonts w:ascii="Times New Roman" w:hAnsi="Times New Roman"/>
                <w:b/>
                <w:color w:val="000000"/>
                <w:sz w:val="20"/>
              </w:rPr>
              <w:br/>
            </w:r>
            <w:r>
              <w:rPr>
                <w:rFonts w:ascii="Arial" w:hAnsi="Arial"/>
                <w:b/>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aura-ex31_2.htm"/>
      <w:bookmarkStart w:id="38" w:name="ksauraex31_2"/>
      <w:bookmarkEnd w:id="37"/>
      <w:bookmarkEnd w:id="38"/>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Anthony Gibney,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0" w:right="0" w:firstLine="490"/>
        <w:jc w:val="left"/>
        <w:rPr/>
      </w:pPr>
      <w:r>
        <w:rPr/>
        <w:t> </w:t>
      </w:r>
    </w:p>
    <w:p>
      <w:pPr>
        <w:pStyle w:val="TextBody"/>
        <w:bidi w:val="0"/>
        <w:ind w:left="0" w:right="0" w:firstLine="49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5674" w:type="dxa"/>
        <w:jc w:val="left"/>
        <w:tblInd w:w="0" w:type="dxa"/>
        <w:tblLayout w:type="fixed"/>
        <w:tblCellMar>
          <w:top w:w="28" w:type="dxa"/>
          <w:left w:w="28" w:type="dxa"/>
          <w:bottom w:w="28" w:type="dxa"/>
          <w:right w:w="28" w:type="dxa"/>
        </w:tblCellMar>
      </w:tblPr>
      <w:tblGrid>
        <w:gridCol w:w="556"/>
        <w:gridCol w:w="1501"/>
        <w:gridCol w:w="36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August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and Business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aura-ex32_1.htm"/>
      <w:bookmarkStart w:id="40" w:name="ksauraex32_1"/>
      <w:bookmarkEnd w:id="39"/>
      <w:bookmarkEnd w:id="40"/>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Aura Biosciences, Inc. (the “Company”) for the period ended June 30, 2026 as filed with the Securities and Exchange Commission on the date hereof (the “Report”), each of the undersigned certifies, pursuant to 18 U.S.C. §1350, as adopted pursuant to §906 of the Sarbanes-Oxley Act of 2002, that, to the best of his or her knowledge:</w:t>
      </w:r>
    </w:p>
    <w:p>
      <w:pPr>
        <w:pStyle w:val="TextBody"/>
        <w:bidi w:val="0"/>
        <w:spacing w:before="240" w:after="283"/>
        <w:jc w:val="left"/>
        <w:rPr/>
      </w:pPr>
      <w:r>
        <w:rPr/>
        <w:t> </w:t>
      </w:r>
    </w:p>
    <w:p>
      <w:pPr>
        <w:pStyle w:val="TextBody"/>
        <w:bidi w:val="0"/>
        <w:spacing w:before="0" w:after="0"/>
        <w:ind w:left="360" w:right="0" w:hanging="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ind w:left="360" w:right="0" w:hanging="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719" w:type="dxa"/>
        <w:jc w:val="left"/>
        <w:tblInd w:w="0" w:type="dxa"/>
        <w:tblLayout w:type="fixed"/>
        <w:tblCellMar>
          <w:top w:w="28" w:type="dxa"/>
          <w:left w:w="28" w:type="dxa"/>
          <w:bottom w:w="28" w:type="dxa"/>
          <w:right w:w="28" w:type="dxa"/>
        </w:tblCellMar>
      </w:tblPr>
      <w:tblGrid>
        <w:gridCol w:w="556"/>
        <w:gridCol w:w="1441"/>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Executive Officer and President</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and Business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796/000095017022004425/aura-ex3_2.htm" TargetMode="External"/><Relationship Id="rId3" Type="http://schemas.openxmlformats.org/officeDocument/2006/relationships/hyperlink" Target="https://www.sec.gov/Archives/edgar/data/1501796/000119312521295543/d209588dex42.htm" TargetMode="External"/><Relationship Id="rId4" Type="http://schemas.openxmlformats.org/officeDocument/2006/relationships/hyperlink" Target="https://www.sec.gov/Archives/edgar/data/1501796/000119312526206804/d133115dex41.htm" TargetMode="External"/><Relationship Id="rId5" Type="http://schemas.openxmlformats.org/officeDocument/2006/relationships/hyperlink" Target="https://www.sec.gov/Archives/edgar/data/1501796/000119312526297992/aura-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76749</Words>
  <Characters>420745</Characters>
  <CharactersWithSpaces>497622</CharactersWithSpaces>
  <Paragraphs>6422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