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0546ds3.htm"/>
        <w:bookmarkStart w:id="1" w:name="ksd140546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7"/>
        </w:rPr>
      </w:pPr>
      <w:r>
        <w:rPr>
          <w:rFonts w:ascii="Times New Roman" w:hAnsi="Times New Roman"/>
          <w:b/>
          <w:sz w:val="17"/>
        </w:rPr>
        <w:t xml:space="preserve">As filed with the Securities and Exchange Commission on August 11, 2026 </w:t>
      </w:r>
    </w:p>
    <w:p>
      <w:pPr>
        <w:pStyle w:val="TextBody"/>
        <w:bidi w:val="0"/>
        <w:spacing w:before="0" w:after="0"/>
        <w:jc w:val="right"/>
        <w:rPr>
          <w:rFonts w:ascii="Times New Roman" w:hAnsi="Times New Roman"/>
          <w:b/>
          <w:sz w:val="17"/>
        </w:rPr>
      </w:pPr>
      <w:r>
        <w:rPr>
          <w:rFonts w:ascii="Times New Roman" w:hAnsi="Times New Roman"/>
          <w:b/>
          <w:sz w:val="17"/>
        </w:rPr>
        <w:t>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2"/>
        </w:rPr>
      </w:pPr>
      <w:r>
        <w:rPr>
          <w:rFonts w:ascii="Times New Roman" w:hAnsi="Times New Roman"/>
          <w:b/>
          <w:sz w:val="32"/>
        </w:rPr>
        <w:t>FORM S-3</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18"/>
        </w:rPr>
      </w:pPr>
      <w:r>
        <w:rPr>
          <w:rFonts w:ascii="Times New Roman" w:hAnsi="Times New Roman"/>
          <w:b/>
          <w:i/>
          <w:sz w:val="18"/>
        </w:rPr>
        <w:t xml:space="preserve">UNDER </w:t>
      </w:r>
    </w:p>
    <w:p>
      <w:pPr>
        <w:pStyle w:val="TextBody"/>
        <w:bidi w:val="0"/>
        <w:spacing w:before="0" w:after="0"/>
        <w:jc w:val="center"/>
        <w:rPr>
          <w:rFonts w:ascii="Times New Roman" w:hAnsi="Times New Roman"/>
          <w:b/>
          <w:i/>
          <w:sz w:val="18"/>
        </w:rPr>
      </w:pPr>
      <w:r>
        <w:rPr>
          <w:rFonts w:ascii="Times New Roman" w:hAnsi="Times New Roman"/>
          <w:b/>
          <w:i/>
          <w:sz w:val="18"/>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0"/>
        </w:rPr>
      </w:pPr>
      <w:r>
        <w:rPr>
          <w:rFonts w:ascii="Times New Roman" w:hAnsi="Times New Roman"/>
          <w:b/>
          <w:sz w:val="40"/>
        </w:rPr>
        <w:t xml:space="preserve">AURA BIOSCIENCES, INC. </w:t>
      </w:r>
    </w:p>
    <w:p>
      <w:pPr>
        <w:pStyle w:val="TextBody"/>
        <w:bidi w:val="0"/>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32-0271970</w:t>
            </w:r>
          </w:p>
        </w:tc>
      </w:tr>
      <w:tr>
        <w:trPr/>
        <w:tc>
          <w:tcPr>
            <w:tcW w:w="5153" w:type="dxa"/>
            <w:tcBorders/>
          </w:tcPr>
          <w:p>
            <w:pPr>
              <w:pStyle w:val="TableContents"/>
              <w:bidi w:val="0"/>
              <w:spacing w:before="0" w:after="0"/>
              <w:jc w:val="center"/>
              <w:rPr>
                <w:rFonts w:ascii="Times New Roman" w:hAnsi="Times New Roman"/>
                <w:b/>
                <w:sz w:val="17"/>
              </w:rPr>
            </w:pPr>
            <w:r>
              <w:rPr>
                <w:rFonts w:ascii="Times New Roman" w:hAnsi="Times New Roman"/>
                <w:b/>
                <w:sz w:val="17"/>
              </w:rPr>
              <w:t>(State or other jurisdiction of</w:t>
            </w:r>
          </w:p>
          <w:p>
            <w:pPr>
              <w:pStyle w:val="TableContents"/>
              <w:bidi w:val="0"/>
              <w:spacing w:before="0" w:after="20"/>
              <w:jc w:val="center"/>
              <w:rPr>
                <w:rFonts w:ascii="Times New Roman" w:hAnsi="Times New Roman"/>
                <w:b/>
                <w:sz w:val="17"/>
              </w:rPr>
            </w:pPr>
            <w:r>
              <w:rPr>
                <w:rFonts w:ascii="Times New Roman" w:hAnsi="Times New Roman"/>
                <w:b/>
                <w:sz w:val="17"/>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7"/>
              </w:rPr>
            </w:pPr>
            <w:r>
              <w:rPr>
                <w:rFonts w:ascii="Times New Roman" w:hAnsi="Times New Roman"/>
                <w:b/>
                <w:sz w:val="17"/>
              </w:rPr>
              <w:t>(I.R.S. Employer</w:t>
            </w:r>
          </w:p>
          <w:p>
            <w:pPr>
              <w:pStyle w:val="TableContents"/>
              <w:bidi w:val="0"/>
              <w:spacing w:before="0" w:after="20"/>
              <w:jc w:val="center"/>
              <w:rPr>
                <w:rFonts w:ascii="Times New Roman" w:hAnsi="Times New Roman"/>
                <w:b/>
                <w:sz w:val="17"/>
              </w:rPr>
            </w:pPr>
            <w:r>
              <w:rPr>
                <w:rFonts w:ascii="Times New Roman" w:hAnsi="Times New Roman"/>
                <w:b/>
                <w:sz w:val="17"/>
              </w:rPr>
              <w:t>Identification Number)</w:t>
            </w:r>
          </w:p>
        </w:tc>
      </w:tr>
    </w:tbl>
    <w:p>
      <w:pPr>
        <w:pStyle w:val="TextBody"/>
        <w:bidi w:val="0"/>
        <w:spacing w:before="120" w:after="0"/>
        <w:jc w:val="center"/>
        <w:rPr>
          <w:rFonts w:ascii="Times New Roman" w:hAnsi="Times New Roman"/>
          <w:b/>
          <w:sz w:val="16"/>
        </w:rPr>
      </w:pPr>
      <w:r>
        <w:rPr>
          <w:rFonts w:ascii="Times New Roman" w:hAnsi="Times New Roman"/>
          <w:b/>
          <w:sz w:val="16"/>
        </w:rPr>
        <w:t xml:space="preserve">Aura Biosciences, Inc. </w:t>
      </w:r>
    </w:p>
    <w:p>
      <w:pPr>
        <w:pStyle w:val="TextBody"/>
        <w:bidi w:val="0"/>
        <w:spacing w:before="0" w:after="0"/>
        <w:jc w:val="center"/>
        <w:rPr>
          <w:rFonts w:ascii="Times New Roman" w:hAnsi="Times New Roman"/>
          <w:b/>
          <w:sz w:val="16"/>
        </w:rPr>
      </w:pPr>
      <w:r>
        <w:rPr>
          <w:rFonts w:ascii="Times New Roman" w:hAnsi="Times New Roman"/>
          <w:b/>
          <w:sz w:val="16"/>
        </w:rPr>
        <w:t xml:space="preserve">80 Guest Street </w:t>
      </w:r>
    </w:p>
    <w:p>
      <w:pPr>
        <w:pStyle w:val="TextBody"/>
        <w:bidi w:val="0"/>
        <w:spacing w:before="0" w:after="0"/>
        <w:jc w:val="center"/>
        <w:rPr>
          <w:rFonts w:ascii="Times New Roman" w:hAnsi="Times New Roman"/>
          <w:b/>
          <w:sz w:val="16"/>
        </w:rPr>
      </w:pPr>
      <w:r>
        <w:rPr>
          <w:rFonts w:ascii="Times New Roman" w:hAnsi="Times New Roman"/>
          <w:b/>
          <w:sz w:val="16"/>
        </w:rPr>
        <w:t xml:space="preserve">Boston, MA 02135 </w:t>
      </w:r>
    </w:p>
    <w:p>
      <w:pPr>
        <w:pStyle w:val="TextBody"/>
        <w:bidi w:val="0"/>
        <w:spacing w:before="0" w:after="0"/>
        <w:jc w:val="center"/>
        <w:rPr>
          <w:rFonts w:ascii="Times New Roman" w:hAnsi="Times New Roman"/>
          <w:b/>
          <w:sz w:val="16"/>
        </w:rPr>
      </w:pPr>
      <w:r>
        <w:rPr>
          <w:rFonts w:ascii="Times New Roman" w:hAnsi="Times New Roman"/>
          <w:b/>
          <w:sz w:val="16"/>
        </w:rPr>
        <w:t>(617) 500-8864</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Natalie Holles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Aura Biosciences, Inc. </w:t>
      </w:r>
    </w:p>
    <w:p>
      <w:pPr>
        <w:pStyle w:val="TextBody"/>
        <w:bidi w:val="0"/>
        <w:spacing w:before="0" w:after="0"/>
        <w:jc w:val="center"/>
        <w:rPr>
          <w:rFonts w:ascii="Times New Roman" w:hAnsi="Times New Roman"/>
          <w:b/>
          <w:sz w:val="16"/>
        </w:rPr>
      </w:pPr>
      <w:r>
        <w:rPr>
          <w:rFonts w:ascii="Times New Roman" w:hAnsi="Times New Roman"/>
          <w:b/>
          <w:sz w:val="16"/>
        </w:rPr>
        <w:t xml:space="preserve">80 Guest Street </w:t>
      </w:r>
    </w:p>
    <w:p>
      <w:pPr>
        <w:pStyle w:val="TextBody"/>
        <w:bidi w:val="0"/>
        <w:spacing w:before="0" w:after="0"/>
        <w:jc w:val="center"/>
        <w:rPr>
          <w:rFonts w:ascii="Times New Roman" w:hAnsi="Times New Roman"/>
          <w:b/>
          <w:sz w:val="16"/>
        </w:rPr>
      </w:pPr>
      <w:r>
        <w:rPr>
          <w:rFonts w:ascii="Times New Roman" w:hAnsi="Times New Roman"/>
          <w:b/>
          <w:sz w:val="16"/>
        </w:rPr>
        <w:t xml:space="preserve">Boston, MA 02135 </w:t>
      </w:r>
    </w:p>
    <w:p>
      <w:pPr>
        <w:pStyle w:val="TextBody"/>
        <w:bidi w:val="0"/>
        <w:spacing w:before="0" w:after="0"/>
        <w:jc w:val="center"/>
        <w:rPr>
          <w:rFonts w:ascii="Times New Roman" w:hAnsi="Times New Roman"/>
          <w:b/>
          <w:sz w:val="16"/>
        </w:rPr>
      </w:pPr>
      <w:r>
        <w:rPr>
          <w:rFonts w:ascii="Times New Roman" w:hAnsi="Times New Roman"/>
          <w:b/>
          <w:sz w:val="16"/>
        </w:rPr>
        <w:t xml:space="preserve">(617) 500-8864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6"/>
        </w:rPr>
      </w:pPr>
      <w:r>
        <w:rPr>
          <w:rFonts w:ascii="Times New Roman" w:hAnsi="Times New Roman"/>
          <w:b/>
          <w:i/>
          <w:sz w:val="16"/>
        </w:rPr>
        <w:t xml:space="preserve">Copy to: </w:t>
      </w:r>
    </w:p>
    <w:p>
      <w:pPr>
        <w:pStyle w:val="TextBody"/>
        <w:bidi w:val="0"/>
        <w:spacing w:before="120" w:after="0"/>
        <w:jc w:val="center"/>
        <w:rPr>
          <w:rFonts w:ascii="Times New Roman" w:hAnsi="Times New Roman"/>
          <w:b/>
          <w:sz w:val="16"/>
        </w:rPr>
      </w:pPr>
      <w:r>
        <w:rPr>
          <w:rFonts w:ascii="Times New Roman" w:hAnsi="Times New Roman"/>
          <w:b/>
          <w:sz w:val="16"/>
        </w:rPr>
        <w:t xml:space="preserve">Effie Thosav, Esq. </w:t>
      </w:r>
    </w:p>
    <w:p>
      <w:pPr>
        <w:pStyle w:val="TextBody"/>
        <w:bidi w:val="0"/>
        <w:spacing w:before="0" w:after="0"/>
        <w:jc w:val="center"/>
        <w:rPr>
          <w:rFonts w:ascii="Times New Roman" w:hAnsi="Times New Roman"/>
          <w:b/>
          <w:sz w:val="16"/>
        </w:rPr>
      </w:pPr>
      <w:r>
        <w:rPr>
          <w:rFonts w:ascii="Times New Roman" w:hAnsi="Times New Roman"/>
          <w:b/>
          <w:sz w:val="16"/>
        </w:rPr>
        <w:t xml:space="preserve">Ryan Mitteness, Esq. </w:t>
      </w:r>
    </w:p>
    <w:p>
      <w:pPr>
        <w:pStyle w:val="TextBody"/>
        <w:bidi w:val="0"/>
        <w:spacing w:before="0" w:after="0"/>
        <w:jc w:val="center"/>
        <w:rPr>
          <w:rFonts w:ascii="Times New Roman" w:hAnsi="Times New Roman"/>
          <w:b/>
          <w:sz w:val="16"/>
        </w:rPr>
      </w:pPr>
      <w:r>
        <w:rPr>
          <w:rFonts w:ascii="Times New Roman" w:hAnsi="Times New Roman"/>
          <w:b/>
          <w:sz w:val="16"/>
        </w:rPr>
        <w:t xml:space="preserve">Chelea Anderson, Esq. </w:t>
      </w:r>
    </w:p>
    <w:p>
      <w:pPr>
        <w:pStyle w:val="TextBody"/>
        <w:bidi w:val="0"/>
        <w:spacing w:before="0" w:after="0"/>
        <w:jc w:val="center"/>
        <w:rPr>
          <w:rFonts w:ascii="Times New Roman" w:hAnsi="Times New Roman"/>
          <w:b/>
          <w:sz w:val="16"/>
        </w:rPr>
      </w:pPr>
      <w:r>
        <w:rPr>
          <w:rFonts w:ascii="Times New Roman" w:hAnsi="Times New Roman"/>
          <w:b/>
          <w:sz w:val="16"/>
        </w:rPr>
        <w:t xml:space="preserve">Fenwick &amp; West LLP </w:t>
      </w:r>
    </w:p>
    <w:p>
      <w:pPr>
        <w:pStyle w:val="TextBody"/>
        <w:bidi w:val="0"/>
        <w:spacing w:before="0" w:after="0"/>
        <w:jc w:val="center"/>
        <w:rPr>
          <w:rFonts w:ascii="Times New Roman" w:hAnsi="Times New Roman"/>
          <w:b/>
          <w:sz w:val="16"/>
        </w:rPr>
      </w:pPr>
      <w:r>
        <w:rPr>
          <w:rFonts w:ascii="Times New Roman" w:hAnsi="Times New Roman"/>
          <w:b/>
          <w:sz w:val="16"/>
        </w:rPr>
        <w:t xml:space="preserve">401 Union Street </w:t>
      </w:r>
    </w:p>
    <w:p>
      <w:pPr>
        <w:pStyle w:val="TextBody"/>
        <w:bidi w:val="0"/>
        <w:spacing w:before="0" w:after="0"/>
        <w:jc w:val="center"/>
        <w:rPr>
          <w:rFonts w:ascii="Times New Roman" w:hAnsi="Times New Roman"/>
          <w:b/>
          <w:sz w:val="16"/>
        </w:rPr>
      </w:pPr>
      <w:r>
        <w:rPr>
          <w:rFonts w:ascii="Times New Roman" w:hAnsi="Times New Roman"/>
          <w:b/>
          <w:sz w:val="16"/>
        </w:rPr>
        <w:t xml:space="preserve">Seattle, Washington 98101 </w:t>
      </w:r>
    </w:p>
    <w:p>
      <w:pPr>
        <w:pStyle w:val="TextBody"/>
        <w:bidi w:val="0"/>
        <w:spacing w:before="0" w:after="0"/>
        <w:jc w:val="center"/>
        <w:rPr>
          <w:rFonts w:ascii="Times New Roman" w:hAnsi="Times New Roman"/>
          <w:b/>
          <w:sz w:val="16"/>
        </w:rPr>
      </w:pPr>
      <w:r>
        <w:rPr>
          <w:rFonts w:ascii="Times New Roman" w:hAnsi="Times New Roman"/>
          <w:b/>
          <w:sz w:val="16"/>
        </w:rPr>
        <w:t>(206) 389-4510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this registration statement becomes effective. </w:t>
      </w:r>
    </w:p>
    <w:p>
      <w:pPr>
        <w:pStyle w:val="TextBody"/>
        <w:bidi w:val="0"/>
        <w:spacing w:before="12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04"/>
        <w:gridCol w:w="4794"/>
        <w:gridCol w:w="130"/>
        <w:gridCol w:w="2632"/>
        <w:gridCol w:w="104"/>
        <w:gridCol w:w="261"/>
      </w:tblGrid>
      <w:tr>
        <w:trPr/>
        <w:tc>
          <w:tcPr>
            <w:tcW w:w="218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6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6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We are filing this registration statement with the Securities and Exchange Commission, or the SEC, using a “shelf” registration process. Under this registered “shelf,” in the future, we may, from time to time, sell any combination of the securities described herein, in one or more offerings, up to a maximum aggregate offering price of $500,000,000.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contains: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prospectus that covers the offering, issuance and sale by us of up to $500,000,000 of our debt securities, common stock, preferred stock, units and/or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sales agreement prospectus supplement that covers the offer and sale by us of shares of our common stock having an aggregate offering price of up to $200,000,000 from time to time under the Open Market Sale AgreementSM, or the sales agreement, with Jefferies LLC.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base prospectus immediately follows this explanatory note. The specific terms of any securities to be offered pursuant to the base prospectus will be specified in a prospectus supplement to the base prospectus. The up to $200,000,000 of common stock that may be offered, issued and sold from time to time under the sales agreement prospectus supplement is included in the $500,000,000 of securities that may be offered, issued and sold by us under the base prospectus. Upon termination of the sales agreement with Jefferies LLC, any portion of the $200,000,000 included in the sales agreement prospectus supplement that is not sold pursuant to the sales agreement will be available for sale in other offerings pursuant to the base prospectus and a corresponding prospectus supplement, and if no shares are sold under the sales agreement, the full $200,000,000 of securities may be sold in other offerings pursuant to the base prospectus and a corresponding prospectus supplement.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August 11,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07632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76325" cy="26670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$500,000,000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AURA BIOSCIENCES, INC.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Units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may from time to time issue, in one or more series or classes, up to $500,000,000 in aggregate principal amount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to this prospectus and any related free writing 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may offer these securities separately or together in units. Each time we sell securities described herein, we will provide prospective investors with a supplement to this prospectus that will specify the terms of the securities being offered. We may sell these securities to or through underwriters or dealers and also to other purchasers or through agents. We will set forth the names of any underwriters or agents, and any fees, commissions, or discount arrangements, in the applicable prospectus supplement. We may not sell any securities under this prospectus without delivery of the applicable prospectus supplement. You should read this document and any prospectus supplement or amendment carefully before you invest in our securities. Our common stock is listed on The Nasdaq Global Market under the symbol “AURA.” On August 10, 2026, the closing price for our common stock, as reported on The Nasdaq Global Market, was $7.70 per share. Our principal executive offices are located at 80 Guest Street, Boston, MA 02135.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these securities involves certain risks. See “</w:t>
      </w:r>
      <w:hyperlink w:anchor="tx140546_2">
        <w:r>
          <w:rPr>
            <w:rStyle w:val="InternetLink"/>
            <w:rFonts w:ascii="Times New Roman" w:hAnsi="Times New Roman"/>
            <w:b/>
            <w:sz w:val="24"/>
          </w:rPr>
          <w:t>Risk Factors</w:t>
        </w:r>
      </w:hyperlink>
      <w:r>
        <w:rPr>
          <w:rFonts w:ascii="Times New Roman" w:hAnsi="Times New Roman"/>
          <w:b/>
          <w:sz w:val="24"/>
        </w:rPr>
        <w:t xml:space="preserve">” on page 2 of this prospectus as well as those included in any accompanying prospectus supplement and in the documents incorporated by reference in this prospectus for a discussion of the factors you should carefully consider before deciding to purchase these securities.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140546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0546_2">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0546_3">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0546_4">
              <w:r>
                <w:rPr>
                  <w:rStyle w:val="InternetLink"/>
                  <w:rFonts w:ascii="Times New Roman" w:hAnsi="Times New Roman"/>
                  <w:sz w:val="20"/>
                </w:rPr>
                <w:t>OUR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0546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0546_6">
              <w:r>
                <w:rPr>
                  <w:rStyle w:val="InternetLink"/>
                  <w:rFonts w:ascii="Times New Roman" w:hAnsi="Times New Roman"/>
                  <w:sz w:val="20"/>
                </w:rPr>
                <w:t>SECURITIES THAT MAY BE OFFERED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0546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0546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0546_9">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0546_10">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0546_11">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0546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0546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0546_14">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40546_15">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40546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$500,000,000. </w:t>
      </w:r>
    </w:p>
    <w:p>
      <w:pPr>
        <w:pStyle w:val="TextBody"/>
        <w:bidi w:val="0"/>
        <w:spacing w:before="240" w:after="0"/>
        <w:jc w:val="left"/>
        <w:rPr>
          <w:rFonts w:ascii="Times New Roman" w:hAnsi="Times New Roman"/>
          <w:sz w:val="20"/>
        </w:rPr>
      </w:pPr>
      <w:r>
        <w:rPr>
          <w:rFonts w:ascii="Times New Roman" w:hAnsi="Times New Roman"/>
          <w:sz w:val="20"/>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To the extent there is a conflict between the information contained in this prospectus and the prospectus supplement, you should rely on the information in the prospectus supplement; </w:t>
      </w:r>
      <w:r>
        <w:rPr>
          <w:rFonts w:ascii="Times New Roman" w:hAnsi="Times New Roman"/>
          <w:i/>
          <w:sz w:val="20"/>
        </w:rPr>
        <w:t>provided</w:t>
      </w:r>
      <w:r>
        <w:rPr>
          <w:rFonts w:ascii="Times New Roman" w:hAnsi="Times New Roman"/>
          <w:sz w:val="20"/>
        </w:rPr>
        <w:t xml:space="preserve">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This prospectus, together with any applicable prospectus supplement and the documents incorporated by reference into this prospectus, contains important information you should know before investing in our securities, including important information about us and the securities being offered. You should read both this prospectus and the accompanying prospectus supplement together with the additional information described under the headings “Where You Can Find More Information” and “Incorporation by Reference” beginning on page 28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agent, underwriter or dealer have authorized anyone to give you any information or to make any representation other than the information and representations contained in or incorporated by reference into this prospectus or any applicable prospectus supplement. We and any agent, underwriter or dealer take no responsibility for, and can provide no assurance as to the reliability of, any other information others may give you. This prospectus and any applicable prospectus supplement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This prospectus, any applicable prospectus supplement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 </w:t>
      </w:r>
    </w:p>
    <w:p>
      <w:pPr>
        <w:pStyle w:val="TextBody"/>
        <w:bidi w:val="0"/>
        <w:spacing w:before="360" w:after="0"/>
        <w:jc w:val="left"/>
        <w:rPr>
          <w:rFonts w:ascii="Times New Roman" w:hAnsi="Times New Roman"/>
          <w:b/>
          <w:sz w:val="20"/>
        </w:rPr>
      </w:pPr>
      <w:r>
        <w:rPr>
          <w:rFonts w:ascii="Times New Roman" w:hAnsi="Times New Roman"/>
          <w:b/>
          <w:sz w:val="20"/>
        </w:rPr>
        <w:t xml:space="preserve">THIS PROSPECTUS MAY NOT BE USED TO OFFER AND SELL SECURITIES UNLESS IT IS ACCOMPANIED BY AN ADDITIONAL PROSPECTUS OR A PROSPECTUS SUPPLEMENT.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prospectus, unless the context otherwise requires, references to “Aura,” “company,” “we,” “us” and “our” refer to Aura Biosciences, Inc. and, where appropriate,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40546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consider the risks set forth in our filings with the SEC that are incorporated by reference herein and any applicable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our most recent Annual Report on Form 10-K, our Quarterly Reports on Form 10-Q and our Current Reports on Form 8-K and the other documents we file with the SEC that are deemed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40546_3"/>
      <w:bookmarkEnd w:id="5"/>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that we incorporate by reference, includes forward-looking statements within the meaning of Section 27A of the Securities Act of 1933, as amended, or the Securities Act, and Section 21E of the Securities Exchange Act of 1934, as amended, or the Exchange Act. Forward-looking statements relate to, among others, our plans, objectives and expectations for our business, operations and financial performance and condition, and can be identified by terminology such as “may,” “will,” “could,” “should,” “expect,” “intend,” “plan,” “anticipate,” “believe,” “estimate,” “predict,” “potential,” “project,” “seek,” “endeavor,” “target,”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efficiently develop our existing product candidates and discover new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manufacture our drug substances and product candidates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and willingness of our third-party strategic collaborators to continue research and development activities relating to our development candidates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necessary to complete further development and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our ability to enter into strategic collaborations or arrangements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product candidates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macroeconomic conditions, including high interest rates, inflation, capital market disruptions, changes in governmental agencies, government shutdowns, international tariffs, trade protection measures, economic sanctions and economic slowdowns or recessions, on our business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listed under the caption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under “Item 1A: Risk Factors” and elsewhere in our most recent Annual Report on Form 10-K, our subsequent Quarterly Reports on Form 10-Q and our Current Reports on Form 8-K, and the section of any accompanying prospectus supplement titled “Risk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140546_4"/>
      <w:bookmarkEnd w:id="6"/>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We are a clinical-stage biotechnology company developing precision therapies to treat solid tumors designed to preserve organ function. Our lead candidate bel-sar is in late-stage clinical development for the treatment of patients with early choroidal melanoma (defined as small choroidal melanoma and/or indeterminate lesions) and is also in clinical development for other ocular oncology indications.</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There is significant unmet need for novel treatments for patients with choroidal melanoma, given the limitations of the current standard of care, or SoC, and patient reluctance to undergo radiotherapy in the form of either plaque brachytherapy or proton beam therapy, both highly-invasive therapies that result in significant vision loss, and potential legal blindness in the treated eye. Enucleation, or surgical removal of the affected eye, is another treatment option for patients with choroidal melanoma, in which patients lose all vision without the possibility of vision restoration. We are evaluating the safety and efficacy of bel-sar as a potential vision-sparing therapy in our ongoing global Phase 3 CoMpass trial for the first-line treatment of adult patients with early choroidal melanoma. Moreover, we intend to assess the safety and efficacy of bel-sar in treating a range of other solid tumors, beginning with metastases to the choroid cancer where bel-sar is in clinical development as well as cancers of the ocular surface. We believe bel-sar, if approved, has the potential to change the current treatment paradigm for patients with ocular cancers and other solid tumors.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History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Aura Biosciences, Inc. was incorporated in Delaware in January 2009. Our principal executive office is located at 80 Guest Street, Boston, MA 02135 and our telephone number is (617) 500-8864. Information about us is available on our corporate website at www.aurabiosciences.com. Information available on our website is not a part of, and is not incorporated into, this prospectus. We trade on The Nasdaq Global Market under the ticker symbol “AURA”. We do not incorporate the information on or accessible through our website into this prospectus, and you should not consider any information on, or that can be accessed through, our website as part of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permitted to only disclose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hold advisory votes on executive compensation or to obtain stockholder approval of any golden parachute arrangements not previously approved;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the auditor attestation requirement in the assessment of our internal control over financial reporting.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exemptions until the fifth anniversary of our initial public offering or such earlier time that we are no longer an emerging growth company. We would cease to be an emerging growth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company on the date that is the earliest of (i) the last day of the fiscal year in which we have total annual gross revenue of $1.235 billion or more; (ii) December 31, 2026;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are in the process of evaluating the benefits of relying on other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is more than $700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40546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under this prospectus for general corporate purposes unless otherwise indicated in the applicable prospectus supplement. General corporate purposes may include research and development and clinical development costs to support the advancement of our product candidates, potential strategic acquisitions or licensing of complementary businesses, services or technologies, expansion of our technology infrastructure and capabilities, working capital, capital expenditures and other general corporate purposes. We may temporarily invest the net proceeds in a variety of capital preservation instruments, including short-term, investment-grade, interest-bearing instruments and U.S. government securities, or may hold such proceeds as cash, until they are used for their stated purpose. We have not determined the amount of net proceeds to be used specifically for such purposes. As a result, management will retain broad discretion over the allocation of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40546_6"/>
      <w:bookmarkEnd w:id="8"/>
      <w:r>
        <w:rPr>
          <w:rFonts w:ascii="Times New Roman" w:hAnsi="Times New Roman"/>
          <w:b/>
          <w:sz w:val="20"/>
        </w:rPr>
        <w:t xml:space="preserve">SECURITIES THAT MAY BE OFFERED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summary descriptions of the securities we may offer or sell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offer securities described herein, we will provide prospective investors with a supplement to this prospectus that will contain specific information about the terms of that offering, including the specific amounts, prices and terms of the securities offered.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40546_7"/>
      <w:bookmarkEnd w:id="9"/>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intended as a summary only and therefore is not a complete description of our capital stock. This description is based upon, and is qualified by reference to, our Tenth Amended and Restated Certificate of Incorporation, as amended, including by the Certificate of Amendment thereto that became effective on August 5, 2026, or the certificate of incorporation, our Amended and Restated Bylaws, or the bylaws, each of which is included as exhibits to the registration statement of which this prospectus forms a part, and applicable provisions of Delaware corporate law.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500,000,000 shares of common stock, par value $0.00001 per share, and 10,000,000 shares of preferred stock, par value $0.00001 per share, all of which shares of preferred stock are undesignated.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there were 103,480,053 shares of our common stock outstanding, and no shares of preferred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for each share held on all matters submitted to a vote of common stockholders. The holders of our common stock do not have any cumulative voting rights. The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all assets remaining after payment of all debts and other liabilities and any liquidation preference of any outstanding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t>
      </w:r>
    </w:p>
    <w:p>
      <w:pPr>
        <w:pStyle w:val="TextBody"/>
        <w:bidi w:val="0"/>
        <w:spacing w:before="240" w:after="0"/>
        <w:jc w:val="left"/>
        <w:rPr>
          <w:rFonts w:ascii="Times New Roman" w:hAnsi="Times New Roman"/>
          <w:sz w:val="20"/>
        </w:rPr>
      </w:pPr>
      <w:r>
        <w:rPr>
          <w:rFonts w:ascii="Times New Roman" w:hAnsi="Times New Roman"/>
          <w:sz w:val="20"/>
        </w:rPr>
        <w:t xml:space="preserve">No shares of preferred stock are outstanding as of the date of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had outstanding pre-funded warrants to purchase an aggregate of 7,371,435 shares of common stock at an exercise price of $0.00001 per share of common stock and outstanding warrants to purchase an aggregate of 3,801,750 shares of our common stock at an exercise price of $4.90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stockholders are entitled to rights with respect to the registration of these securities under the Securities Act. These rights are provided under the terms of our Fifth Amended and Restated Investors’ Rights Agreement, dated as of March 18, 2021, or the Investors’ Rights Agreement. The Investors’ Rights Agreement is between us and the holders of our preferred stock.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stockholders are entitled to demand registration rights. Under the terms of our Investors’ Rights Agreement, we will be required, upon the written request of a majority of holders of the registrable securities then outstanding that would result in an aggregate offering price of at least $5.0 million, to file a registration statement and to use commercially reasonable efforts to effect the registration of all or a portion of these shares for public resale.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Short-Form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Investors’ Rights Agreement, if we are eligible to file a registration statement on Form S-3, upon the written request from any such holder to sell registrable securities at an aggregate price of at least $3.0 million, we will be required to use commercially reasonable efforts to effect a registration of such shares. We are required to effect only two registrations in any twelve-month period pursuant to this provision of the Investors’ Rights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Expiration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demand registration rights and short-form registration rights granted under the Investors’ Rights Agreement will terminate upon the earlier of (i) November 2, 2026, (ii) a liquidation event and (iii) with respect to any particular stockholder, when such stockholder is able to sell all of its shares pursuant to Rule 144 or any similar exemption under the Securities Act during any three-month period without registration.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Certain Provisions of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Board Composition and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we consent in writing to the selection of an alternative forum, 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or our certificate of incorporation or bylaws (including the interpretation, validity or enforceability thereof); or (4) any action asserting a claim that is governed by the internal affairs doctrine; provided, however, that this provision shall not apply to any causes of action arising under the Securities Act or the Exchange Act. In addition, our bylaws provide that, unless we consent to an alternative forum, the federal district courts of the United States shall be the sole and exclusive forum for resolving any complaint asserting a cause of action under the Securities Act (the Federal Forum Provision). Any person or entity purchasing or otherwise acquiring any interest in our securities shall be deemed to have notice of and consented to these forum provisions. These forum provisions may impose additional costs on stockholders and may limit our stockholders’ ability to bring a claim in a forum they find favorable, and the designated courts may reach different judgements or results than other courts. In addition, there is uncertainty as to whether our Federal Forum Provision will be enforced, which may impose additional costs on us and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involving the interested stockholder of 10% or more of the assets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360" w:after="0"/>
        <w:jc w:val="left"/>
        <w:rPr>
          <w:rFonts w:ascii="Times New Roman" w:hAnsi="Times New Roman"/>
          <w:b/>
          <w:sz w:val="20"/>
        </w:rPr>
      </w:pPr>
      <w:r>
        <w:rPr>
          <w:rFonts w:ascii="Times New Roman" w:hAnsi="Times New Roman"/>
          <w:b/>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trading symbol “AURA”.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150 Royall Street, Canton, Massachusetts 02021, and its telephone number is (800) 736-3001.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40546_8"/>
      <w:bookmarkEnd w:id="1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laws of the state of New York, except to the extent that the Trust Indenture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40546_9"/>
      <w:bookmarkEnd w:id="11"/>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common stock, preferred stock in one or more series. We may issue warrants independently or together with common stock, preferred stock, and the warrants may be attached to or separate from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during which, and places at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consequences of holding or exercising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We may also issue pre-funded warrants to purchase common stock. A pre-funded warrant is a type of warrant that allows the holder to purchase a specified number of shares of common stock at a nominal exercise price, generally equal to the par value of the underlying common stock. The pre-funded warrants may be issued as individual warrant agreements to the holders. In addition to the terms described in the bullets above, the applicable prospectus supplement will describe the following terms of any pre-funded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pre-funded warrants will begin, generally on the date of issuance, and the date on which that right will expire, generally when the pre-funded warrant is exercised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 may only be exercised pursuant to a cashless exercise procedure;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beneficial ownership limitations, such that a holder will not be entitled to exercise any portion of any pre-funded warrant that, upon giving effect to (or immediately prior to) such exercise, would cause the holder’s beneficial ownership to exceed a specified threshold, typically 4.99% or 9.99%, of the number of shares of our outstanding common stock or the combined voting power of all of our securities, which threshold may be subject to increase or decrease at the option of the holder, subject to a maximum ownership threshold, typically 9.99% or 19.99%, and compliance with a notice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fundamental transaction, the right of the holder to receive, upon exercise of the pre-funded warrants, the same kind and amount of securities, cash or other property that such holder would have received had they exercised the pre-funded warrants immediately prior to such fundamental transaction, without regard to any limitations on exercise contained in the pre-funded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40546_10"/>
      <w:bookmarkEnd w:id="12"/>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shares of common stock, shares of preferred stock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United States federal income tax considerations relating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in this section, as well as those described under “Description of Capital Stock,” and “Description of Warrants” will apply to the securities included in each unit, to the extent relevant and as may be updated in any prospectus supplements.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Unit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provisions will generally apply to all unit agreements unless otherwise stated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without Consent </w:t>
      </w:r>
    </w:p>
    <w:p>
      <w:pPr>
        <w:pStyle w:val="TextBody"/>
        <w:bidi w:val="0"/>
        <w:spacing w:before="120" w:after="0"/>
        <w:jc w:val="left"/>
        <w:rPr>
          <w:rFonts w:ascii="Times New Roman" w:hAnsi="Times New Roman"/>
          <w:sz w:val="20"/>
        </w:rPr>
      </w:pPr>
      <w:r>
        <w:rPr>
          <w:rFonts w:ascii="Times New Roman" w:hAnsi="Times New Roman"/>
          <w:sz w:val="20"/>
        </w:rPr>
        <w:t xml:space="preserve">We and the applicable unit agent may amend any unit or unit agreement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any provisions of the governing unit agreement that differ from those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correct or supplement any defective or inconsistent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we believe is necessary or desirable and will not adversely affect the interests of the affected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 Consent </w:t>
      </w:r>
    </w:p>
    <w:p>
      <w:pPr>
        <w:pStyle w:val="TextBody"/>
        <w:bidi w:val="0"/>
        <w:spacing w:before="120" w:after="0"/>
        <w:jc w:val="left"/>
        <w:rPr>
          <w:rFonts w:ascii="Times New Roman" w:hAnsi="Times New Roman"/>
          <w:sz w:val="20"/>
        </w:rPr>
      </w:pPr>
      <w:r>
        <w:rPr>
          <w:rFonts w:ascii="Times New Roman" w:hAnsi="Times New Roman"/>
          <w:sz w:val="20"/>
        </w:rPr>
        <w:t xml:space="preserve">We may not amend any particular unit or a unit agreement with respect to any particular unit unless we obtain the consent of the holder of that unit, if the amendment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outstanding units or any series or class the consent of whose holders is required to amend that series or class, or the applicable unit agreement with respect to that series or class,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change to a particular unit agreement and the units issued under that agreement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units of a particular series issued under that agreement, the change must be approved by the holders of a majority of the outstanding units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regarding changes with majority approval also apply to changes affecting any securities issued under a unit agreement, as the governing document.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 Agreements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Mergers and Similar Transactions Permitted; No Restrictive Covenants or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and the units will be governed by New York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and all securities comprising the unit will be issued in the same form. </w:t>
      </w:r>
    </w:p>
    <w:p>
      <w:pPr>
        <w:pStyle w:val="TextBody"/>
        <w:bidi w:val="0"/>
        <w:spacing w:before="240" w:after="0"/>
        <w:jc w:val="left"/>
        <w:rPr>
          <w:rFonts w:ascii="Times New Roman" w:hAnsi="Times New Roman"/>
          <w:sz w:val="20"/>
        </w:rPr>
      </w:pPr>
      <w:r>
        <w:rPr>
          <w:rFonts w:ascii="Times New Roman" w:hAnsi="Times New Roman"/>
          <w:sz w:val="20"/>
        </w:rPr>
        <w:t xml:space="preserve">If we issue any units in registered, non-global form, the following will apply to them. </w:t>
      </w:r>
    </w:p>
    <w:p>
      <w:pPr>
        <w:pStyle w:val="TextBody"/>
        <w:bidi w:val="0"/>
        <w:spacing w:before="240" w:after="0"/>
        <w:jc w:val="left"/>
        <w:rPr>
          <w:rFonts w:ascii="Times New Roman" w:hAnsi="Times New Roman"/>
          <w:sz w:val="20"/>
        </w:rPr>
      </w:pPr>
      <w:r>
        <w:rPr>
          <w:rFonts w:ascii="Times New Roman" w:hAnsi="Times New Roman"/>
          <w:sz w:val="20"/>
        </w:rPr>
        <w:t xml:space="preserve">The units will be issued in the denominations stated in the applicable prospectus supplement. Holders may exchange their units for units of smaller denominations or combined into fewer units of larger denominations, as long as the total amount is not changed.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the depositary will be entitled to transfer or exchange a unit in global form, since it will be the sole holder of the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Payments and Notices </w:t>
      </w:r>
    </w:p>
    <w:p>
      <w:pPr>
        <w:pStyle w:val="TextBody"/>
        <w:bidi w:val="0"/>
        <w:spacing w:before="120" w:after="0"/>
        <w:jc w:val="left"/>
        <w:rPr>
          <w:rFonts w:ascii="Times New Roman" w:hAnsi="Times New Roman"/>
          <w:sz w:val="20"/>
        </w:rPr>
      </w:pPr>
      <w:r>
        <w:rPr>
          <w:rFonts w:ascii="Times New Roman" w:hAnsi="Times New Roman"/>
          <w:sz w:val="20"/>
        </w:rPr>
        <w:t xml:space="preserve">In making payments and giving notices with respect to our units, we will follow the procedures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40546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covered by this prospectus to one or more underwriters for public offering and sale by them, and may also sell the securities to investors directly or through agents.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 </w:t>
      </w:r>
    </w:p>
    <w:p>
      <w:pPr>
        <w:pStyle w:val="TextBody"/>
        <w:bidi w:val="0"/>
        <w:spacing w:before="240" w:after="0"/>
        <w:jc w:val="left"/>
        <w:rPr>
          <w:rFonts w:ascii="Times New Roman" w:hAnsi="Times New Roman"/>
          <w:sz w:val="20"/>
        </w:rPr>
      </w:pPr>
      <w:r>
        <w:rPr>
          <w:rFonts w:ascii="Times New Roman" w:hAnsi="Times New Roman"/>
          <w:sz w:val="20"/>
        </w:rPr>
        <w:t xml:space="preserve">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In compliance with the guidelines of the Financial Industry Regulatory Authority, Inc. (“FINRA”), the aggregate maximum discount, commission or agency fees or other items constituting underwriting compensation to be received by any FINRA member or independent broker-dealer shall be fair and reasonable.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we offer under this prospectus may or may not be listed through The Nasdaq Global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short sale transactions. If so, the third party may use securities pledged by us or borrowed from us or others to settle those sales or to close out any related open borrowings of stock, and they may use securities received from us in settlement of those derivatives to close out any related open borrowings of stock. The third party in these sale transactions will be an underwriter and will be identified in the applicable prospectus supplement. In addition, we may otherwise loan or pledge securities to a financial institution or other third party that in turn may sell the securities short using this prospectus. The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file a prospectus supplement to describe the terms of any offering of our securities covered by this prospectus. The prospectus supplement will disclose: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including any managing underwriters, as well as any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to us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options under which underwriters, if any,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or other items constituting underwriters’ compensation, and any commissions paid to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subscription rights offering, whether we have engaged dealer-managers to facilitate the offering or subscription, including their name or names and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facts material to the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bear all or substantially all of the costs, expenses and fees in connection with the registration of our securities under this prospectus. The underwriters, dealers and agents may engage in transactions with us,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unless the parties to any such trade expressly agree otherwise or the securities are sold by us to an underwriter in a firm commitment underwritten offering.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40546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securities in respect of which this prospectus is being delivered will be passed upon by Fenwick &amp; West LLP, Seattle, Washington.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5" w:name="tx140546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Aura Biosciences, Inc. incorporated by reference in Aura Biosciences, Inc.’s Annual Report on Form 10-K for the year ended December 31, 2025, have been audited by Ernst &amp; Young LLP, independent registered public accounting firm, as set forth in their report thereon incorporated by reference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 </w:t>
      </w:r>
    </w:p>
    <w:p>
      <w:pPr>
        <w:pStyle w:val="TextBody"/>
        <w:bidi w:val="0"/>
        <w:spacing w:before="480" w:after="0"/>
        <w:jc w:val="center"/>
        <w:rPr>
          <w:rFonts w:ascii="Times New Roman" w:hAnsi="Times New Roman"/>
          <w:b/>
          <w:sz w:val="20"/>
        </w:rPr>
      </w:pPr>
      <w:bookmarkStart w:id="16" w:name="tx140546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Securities Exchange Act of 1934, as amended, or the Exchange Act and are required to file annual, quarterly and other reports, proxy statements and other information with the SEC. The SEC maintains an Internet site (http://www.sec.gov) that contains reports, proxy and information statements, and various other information about us. You may also inspect the documents described herein at our principal executive offices, 80 Guest Street, Boston, MA 02135, during normal business hours.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us is also available at our website at </w:t>
      </w:r>
      <w:r>
        <w:rPr>
          <w:rFonts w:ascii="Times New Roman" w:hAnsi="Times New Roman"/>
          <w:sz w:val="20"/>
          <w:u w:val="single"/>
        </w:rPr>
        <w:t>www.aurabiosciences.com</w:t>
      </w:r>
      <w:r>
        <w:rPr>
          <w:rFonts w:ascii="Times New Roman" w:hAnsi="Times New Roman"/>
          <w:sz w:val="20"/>
        </w:rPr>
        <w:t xml:space="preserve">. However, the information on our website is not a part of this prospectus and is not incorporated by reference into this prospectus. We have included our website address in this prospectus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40546_15"/>
      <w:bookmarkEnd w:id="17"/>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Form 10-K for the fiscal year ended December 31, 2025, filed with the SEC on </w:t>
            </w:r>
            <w:hyperlink r:id="rId3">
              <w:r>
                <w:rPr>
                  <w:rStyle w:val="InternetLink"/>
                  <w:rFonts w:ascii="Times New Roman" w:hAnsi="Times New Roman"/>
                  <w:sz w:val="20"/>
                </w:rPr>
                <w:t>March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definitive proxy statement on Schedule 14A (other than information furnished rather than filed), which was filed with the SEC on </w:t>
            </w:r>
            <w:hyperlink r:id="rId4">
              <w:r>
                <w:rPr>
                  <w:rStyle w:val="InternetLink"/>
                  <w:rFonts w:ascii="Times New Roman" w:hAnsi="Times New Roman"/>
                  <w:sz w:val="20"/>
                </w:rPr>
                <w:t>April  20,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filed with the SEC for the quarters ended March 31, 2026, filed with the SEC on </w:t>
            </w:r>
            <w:hyperlink r:id="rId5">
              <w:r>
                <w:rPr>
                  <w:rStyle w:val="InternetLink"/>
                  <w:rFonts w:ascii="Times New Roman" w:hAnsi="Times New Roman"/>
                  <w:sz w:val="20"/>
                </w:rPr>
                <w:t>May 11, 2026</w:t>
              </w:r>
            </w:hyperlink>
            <w:r>
              <w:rPr>
                <w:rFonts w:ascii="Times New Roman" w:hAnsi="Times New Roman"/>
                <w:sz w:val="20"/>
              </w:rPr>
              <w:t xml:space="preserve">, and June 30, 2026, filed with the SEC on </w:t>
            </w:r>
            <w:hyperlink r:id="rId6">
              <w:r>
                <w:rPr>
                  <w:rStyle w:val="InternetLink"/>
                  <w:rFonts w:ascii="Times New Roman" w:hAnsi="Times New Roman"/>
                  <w:sz w:val="20"/>
                </w:rPr>
                <w:t>August 11,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7">
              <w:r>
                <w:rPr>
                  <w:rStyle w:val="InternetLink"/>
                  <w:rFonts w:ascii="Times New Roman" w:hAnsi="Times New Roman"/>
                  <w:sz w:val="20"/>
                </w:rPr>
                <w:t>March  30, 2026</w:t>
              </w:r>
            </w:hyperlink>
            <w:r>
              <w:rPr>
                <w:rFonts w:ascii="Times New Roman" w:hAnsi="Times New Roman"/>
                <w:sz w:val="20"/>
              </w:rPr>
              <w:t xml:space="preserve"> (solely with respect to Item 8.01), </w:t>
            </w:r>
            <w:hyperlink r:id="rId8">
              <w:r>
                <w:rPr>
                  <w:rStyle w:val="InternetLink"/>
                  <w:rFonts w:ascii="Times New Roman" w:hAnsi="Times New Roman"/>
                  <w:sz w:val="20"/>
                </w:rPr>
                <w:t>May 4, 2026</w:t>
              </w:r>
            </w:hyperlink>
            <w:r>
              <w:rPr>
                <w:rFonts w:ascii="Times New Roman" w:hAnsi="Times New Roman"/>
                <w:sz w:val="20"/>
              </w:rPr>
              <w:t xml:space="preserve"> (solely with respect to Item 1.01), </w:t>
            </w:r>
            <w:hyperlink r:id="rId9">
              <w:r>
                <w:rPr>
                  <w:rStyle w:val="InternetLink"/>
                  <w:rFonts w:ascii="Times New Roman" w:hAnsi="Times New Roman"/>
                  <w:sz w:val="20"/>
                </w:rPr>
                <w:t>May  5, 2026</w:t>
              </w:r>
            </w:hyperlink>
            <w:r>
              <w:rPr>
                <w:rFonts w:ascii="Times New Roman" w:hAnsi="Times New Roman"/>
                <w:sz w:val="20"/>
              </w:rPr>
              <w:t xml:space="preserve">, </w:t>
            </w:r>
            <w:hyperlink r:id="rId10">
              <w:r>
                <w:rPr>
                  <w:rStyle w:val="InternetLink"/>
                  <w:rFonts w:ascii="Times New Roman" w:hAnsi="Times New Roman"/>
                  <w:sz w:val="20"/>
                </w:rPr>
                <w:t>May 11, 2026</w:t>
              </w:r>
            </w:hyperlink>
            <w:r>
              <w:rPr>
                <w:rFonts w:ascii="Times New Roman" w:hAnsi="Times New Roman"/>
                <w:sz w:val="20"/>
              </w:rPr>
              <w:t xml:space="preserve"> (solely with respect to Item  8.01), </w:t>
            </w:r>
            <w:hyperlink r:id="rId11">
              <w:r>
                <w:rPr>
                  <w:rStyle w:val="InternetLink"/>
                  <w:rFonts w:ascii="Times New Roman" w:hAnsi="Times New Roman"/>
                  <w:sz w:val="20"/>
                </w:rPr>
                <w:t>June  11, 2026</w:t>
              </w:r>
            </w:hyperlink>
            <w:r>
              <w:rPr>
                <w:rFonts w:ascii="Times New Roman" w:hAnsi="Times New Roman"/>
                <w:sz w:val="20"/>
              </w:rPr>
              <w:t xml:space="preserve">, </w:t>
            </w:r>
            <w:hyperlink r:id="rId12">
              <w:r>
                <w:rPr>
                  <w:rStyle w:val="InternetLink"/>
                  <w:rFonts w:ascii="Times New Roman" w:hAnsi="Times New Roman"/>
                  <w:sz w:val="20"/>
                </w:rPr>
                <w:t>July  8, 2026</w:t>
              </w:r>
            </w:hyperlink>
            <w:r>
              <w:rPr>
                <w:rFonts w:ascii="Times New Roman" w:hAnsi="Times New Roman"/>
                <w:sz w:val="20"/>
              </w:rPr>
              <w:t xml:space="preserve">, </w:t>
            </w:r>
            <w:hyperlink r:id="rId13">
              <w:r>
                <w:rPr>
                  <w:rStyle w:val="InternetLink"/>
                  <w:rFonts w:ascii="Times New Roman" w:hAnsi="Times New Roman"/>
                  <w:sz w:val="20"/>
                </w:rPr>
                <w:t>August  5, 2026</w:t>
              </w:r>
            </w:hyperlink>
            <w:r>
              <w:rPr>
                <w:rFonts w:ascii="Times New Roman" w:hAnsi="Times New Roman"/>
                <w:sz w:val="20"/>
              </w:rPr>
              <w:t xml:space="preserve"> and </w:t>
            </w:r>
            <w:hyperlink r:id="rId14">
              <w:r>
                <w:rPr>
                  <w:rStyle w:val="InternetLink"/>
                  <w:rFonts w:ascii="Times New Roman" w:hAnsi="Times New Roman"/>
                  <w:sz w:val="20"/>
                </w:rPr>
                <w:t>August 11, 2026</w:t>
              </w:r>
            </w:hyperlink>
            <w:r>
              <w:rPr>
                <w:rFonts w:ascii="Times New Roman" w:hAnsi="Times New Roman"/>
                <w:sz w:val="20"/>
              </w:rPr>
              <w:t xml:space="preserve"> (solely with respect to Items 2.05 and 5.02);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8-A filed on </w:t>
            </w:r>
            <w:hyperlink r:id="rId15">
              <w:r>
                <w:rPr>
                  <w:rStyle w:val="InternetLink"/>
                  <w:rFonts w:ascii="Times New Roman" w:hAnsi="Times New Roman"/>
                  <w:sz w:val="20"/>
                </w:rPr>
                <w:t>October 26, 2021</w:t>
              </w:r>
            </w:hyperlink>
            <w:r>
              <w:rPr>
                <w:rFonts w:ascii="Times New Roman" w:hAnsi="Times New Roman"/>
                <w:sz w:val="20"/>
              </w:rPr>
              <w:t xml:space="preserve">, and as set forth by the description of the Registrant’s common stock set forth in Exhibit 4.1 filed herewith, including any other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reports and other documents filed by us pursuant to the Exchange Act after the date of the initial registration statement and prior to effectiveness of the registration statement shall be deemed to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Aura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80 Guest Street </w:t>
      </w:r>
    </w:p>
    <w:p>
      <w:pPr>
        <w:pStyle w:val="TextBody"/>
        <w:bidi w:val="0"/>
        <w:spacing w:before="0" w:after="0"/>
        <w:jc w:val="center"/>
        <w:rPr>
          <w:rFonts w:ascii="Times New Roman" w:hAnsi="Times New Roman"/>
          <w:sz w:val="20"/>
        </w:rPr>
      </w:pPr>
      <w:r>
        <w:rPr>
          <w:rFonts w:ascii="Times New Roman" w:hAnsi="Times New Roman"/>
          <w:sz w:val="20"/>
        </w:rPr>
        <w:t xml:space="preserve">Boston, MA 02135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(617) 500-8864</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80" w:after="0"/>
        <w:jc w:val="center"/>
        <w:rPr>
          <w:rFonts w:ascii="Times New Roman" w:hAnsi="Times New Roman"/>
          <w:b/>
          <w:sz w:val="48"/>
        </w:rPr>
      </w:pPr>
      <w:r>
        <w:rPr>
          <w:rFonts w:ascii="Times New Roman" w:hAnsi="Times New Roman"/>
          <w:b/>
          <w:sz w:val="48"/>
        </w:rPr>
        <w:t xml:space="preserve">AURA BIOSCIENCES, INC. </w:t>
      </w:r>
    </w:p>
    <w:p>
      <w:pPr>
        <w:pStyle w:val="TextBody"/>
        <w:bidi w:val="0"/>
        <w:spacing w:before="720" w:after="0"/>
        <w:jc w:val="center"/>
        <w:rPr>
          <w:rFonts w:ascii="Times New Roman" w:hAnsi="Times New Roman"/>
          <w:b/>
          <w:sz w:val="32"/>
        </w:rPr>
      </w:pPr>
      <w:r>
        <w:rPr>
          <w:rFonts w:ascii="Times New Roman" w:hAnsi="Times New Roman"/>
          <w:b/>
          <w:sz w:val="32"/>
        </w:rPr>
        <w:t xml:space="preserve">$500,000,000 </w:t>
      </w:r>
    </w:p>
    <w:p>
      <w:pPr>
        <w:pStyle w:val="TextBody"/>
        <w:bidi w:val="0"/>
        <w:spacing w:before="7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12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12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120" w:after="0"/>
        <w:jc w:val="center"/>
        <w:rPr>
          <w:rFonts w:ascii="Times New Roman" w:hAnsi="Times New Roman"/>
          <w:b/>
          <w:sz w:val="28"/>
        </w:rPr>
      </w:pPr>
      <w:r>
        <w:rPr>
          <w:rFonts w:ascii="Times New Roman" w:hAnsi="Times New Roman"/>
          <w:b/>
          <w:sz w:val="28"/>
        </w:rPr>
        <w:t xml:space="preserve">Warrants </w:t>
      </w:r>
    </w:p>
    <w:p>
      <w:pPr>
        <w:pStyle w:val="TextBody"/>
        <w:bidi w:val="0"/>
        <w:spacing w:before="12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36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80" w:after="0"/>
        <w:jc w:val="left"/>
        <w:rPr>
          <w:rFonts w:ascii="Times New Roman" w:hAnsi="Times New Roman"/>
          <w:sz w:val="20"/>
        </w:rPr>
      </w:pPr>
      <w:r>
        <w:rPr>
          <w:rFonts w:ascii="Times New Roman" w:hAnsi="Times New Roman"/>
          <w:sz w:val="20"/>
        </w:rPr>
        <w:t xml:space="preserve">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supplement is not complete and may be changed. We may not sell these securities or accept an offer to buy these securities until the registration statement of which this prospectus supplement forms a part filed with the Securities and Exchange Commission is effective. This prospectus supplement is not an offer to sell these securities, and it is not soliciting offers to buy these securities in any jurisdiction where such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August 11,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076325"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076325" cy="26670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Up to $200,000,000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have entered into an Open Market Sale AgreementSM, or the sales agreement, with Jefferies LLC, or Jefferies, dated August 11, 2026, relating to the sale of shares of our common stock. In accordance with the terms of the sales agreement, pursuant to this prospectus supplement and accompanying prospectus, we may offer and sell shares of our common stock, $0.00001 par value per share, having an aggregate offering price of up to $200,000,000 from time to time through Jefferies, acting as our sales agent.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Market under the symbol “AURA.” On August 10, 2026, the closing sale price of our common stock on The Nasdaq Global Market was $7.70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Sales of our common stock, if any, under this prospectus will be made by any method permitted that is deemed to be an “at the market offering” as defined in Rule 415(a)(4) promulgated under the Securities Act of 1933, as amended, or the Securities Act. Jefferies is not required to sell any specific number or dollar amount of securities, but will act as a sales agent using commercially reasonable efforts consistent with its normal trading and sales practices, on mutually agreed terms between Jefferies and us. There is no arrangement for funds to be received in any escrow, trust or similar arrangement.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Jefferies will be entitled to compensation under the terms of the sales agreement at a commission rate of 3.0% of the gross proceeds of any shares of common stock sold under the sales agreement, unless we and Jefferies otherwise agree. In connection with the sale of our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against certain liabilities, including liabilities under the Securities Act and the Securities Exchange Act of 1934, as amended, or the Exchange Act. See “Plan of Distribution” beginning on page S-12 for additional information regarding the compensation to be paid to Jefferies.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an “emerging growth company” and a “smaller reporting company” under the federal securities laws and, as such, we have elected to comply with certain reduced public company reporting requirements for this prospectus supplement and for future filings. See “Prospectus Supplement Summary—Implications of Being an Emerging Growth Company and a Smaller Reporting Company.”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common stock involves a high degree of risk. See “</w:t>
      </w:r>
      <w:hyperlink w:anchor="txa140546_4">
        <w:r>
          <w:rPr>
            <w:rStyle w:val="InternetLink"/>
            <w:rFonts w:ascii="Times New Roman" w:hAnsi="Times New Roman"/>
            <w:b/>
            <w:sz w:val="24"/>
          </w:rPr>
          <w:t>Risk Factors</w:t>
        </w:r>
      </w:hyperlink>
      <w:r>
        <w:rPr>
          <w:rFonts w:ascii="Times New Roman" w:hAnsi="Times New Roman"/>
          <w:b/>
          <w:sz w:val="24"/>
        </w:rPr>
        <w:t xml:space="preserve">” beginning on page S-8 of this prospectus supplement and under similar headings in the other documents that are incorporated by reference into this prospectus supplement concerning factors you should consider before investing in our common stock.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32"/>
        </w:rPr>
      </w:pPr>
      <w:r>
        <w:rPr>
          <w:rFonts w:ascii="Times New Roman" w:hAnsi="Times New Roman"/>
          <w:b/>
          <w:sz w:val="32"/>
        </w:rPr>
        <w:t xml:space="preserve">Jefferies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supplement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txa140546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a140546_2">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a140546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a140546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a140546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a140546_6">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a140546_7">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a140546_8">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a140546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a140546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a140546_11">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a140546_12">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a140546_1"/>
      <w:bookmarkEnd w:id="18"/>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on Form S-3 that we filed with the Securities and Exchange Commission, or SEC, using a “shelf” registration process. Under our base prospectus included in the shelf registration statement, we may offer shares of our common stock having an aggregate offering price of up to $500,000,000. Under this prospectus supplement and the accompanying prospectus, we may offer shares of our common stock having an aggregate offering price of up to $200,000,000 from time to time at prices and on terms to be determined by market conditions at the time of offering. The $200,000,000 of shares of our common stock that may be sold under this prospectus supplement are included in the $500,000,000 of shares of common stock that may be sold under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Before buying any of the shares of common stock offered hereby, we urge you to read carefully this prospectus supplement and the accompanying prospectus, together with the information incorporated herein by reference as described below under the heading “Incorporation of Certain Information by Reference” and in the accompanying prospectus under the heading “Incorporation by Reference.” These documents contain important information that you should consider when making your investment decision. 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other than the information that we have provided or incorporated by reference in this prospectus supplement, the accompanying prospectus, in any free writing prospectus that we may authorize for use in connection with this offering and your reliance on any unauthorized information or representation is at your own risk. This prospectus supplement may be used only in jurisdictions where offers and sales of these securities are permitted.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Our business, financial condition and results of operations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all references in this prospectus supplement to “we,” “us,” “our,” “Aura,” “the Company” and similar designations refer, collectively, to Aura Biosciences, Inc., a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a140546_2"/>
      <w:bookmarkEnd w:id="1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including the documents that we incorporate by reference, contains “forward-looking statements” within the meaning of Section 27A of the Securities Act, and Section 21E of the Exchange Act. All statements, other than statements of historical facts, included in this prospectus supplement,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efficiently develop our existing product candidates and discover new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manufacture our drug substances and product candidates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and willingness of our third-party strategic collaborators to continue research and development activities relating to our development candidates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necessary to complete further development and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our ability to enter into strategic collaborations or arrangements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product candidates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macroeconomic conditions, including high interest rates, inflation, capital market disruptions, changes in governmental agencies, government shutdowns, international tariffs, trade protection measures, economic sanctions and economic slowdowns or recessions, on our business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listed under the caption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and the accompanying prospectus, including the documents that we incorporate by reference, particularly in our “critical accounting estimates” described in Part II, Item 7 “Management’s Discussion and Analysis of Financial Condition and Results of Operations—Critical Accounting Policies and Use of Estimates” and in Part I, Item 1A “Risk Factors” of our most recent annual report on Form 10-K filed with the SEC, which is incorporated by reference in this prospectus supplement, and in the “Risk Factors” section of this prospectus supplement and the accompanying prospectus, that could cause actual results or events to differ materially from the forward-looking statements that we make. Our forward-looking statements do not reflect the potential impact of any future acquisitions, mergers, dispositions, joint ventures, collaborations or investments that we may make.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and the accompanying prospectus, including the documents that we incorporate by reference,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a140546_3"/>
      <w:bookmarkEnd w:id="20"/>
      <w:r>
        <w:rPr>
          <w:rFonts w:ascii="Times New Roman" w:hAnsi="Times New Roman"/>
          <w:b/>
          <w:sz w:val="20"/>
        </w:rPr>
        <w:t xml:space="preserve">PROSPECTUS SUPPLEMENT SUMMARY </w:t>
      </w:r>
    </w:p>
    <w:p>
      <w:pPr>
        <w:pStyle w:val="TextBody"/>
        <w:bidi w:val="0"/>
        <w:spacing w:before="240" w:after="0"/>
        <w:jc w:val="left"/>
        <w:rPr>
          <w:rFonts w:ascii="Times New Roman" w:hAnsi="Times New Roman"/>
          <w:i/>
          <w:sz w:val="20"/>
        </w:rPr>
      </w:pPr>
      <w:r>
        <w:rPr>
          <w:rFonts w:ascii="Times New Roman" w:hAnsi="Times New Roman"/>
          <w:i/>
          <w:sz w:val="20"/>
        </w:rPr>
        <w:t xml:space="preserve">This summary highlights selected information about us and this offering and does not contain all of the information that you should consider before investing in our common stock. You should read this prospectus supplement and the accompanying prospectus carefully, especially the risks of investing in our common stock discussed under “Risk Factors” beginning on page S-6 of this prospectus supplement and in Part I, Item 1A “Risk Factors” of our most recent annual report on Form 10-K and any subsequent Quarterly Reports on Form 10-Q or Current Reports on Form 8-K we file after the date of this prospectus supplement, which is incorporated by reference in this prospectus supplement, along with our consolidated financial statements and notes to those consolidated financial statements and the other information incorporated by reference in this prospectus supplement, before making an investment decision. </w:t>
      </w:r>
    </w:p>
    <w:p>
      <w:pPr>
        <w:pStyle w:val="TextBody"/>
        <w:bidi w:val="0"/>
        <w:spacing w:before="360" w:after="0"/>
        <w:jc w:val="left"/>
        <w:rPr>
          <w:rFonts w:ascii="Times New Roman" w:hAnsi="Times New Roman"/>
          <w:b/>
          <w:sz w:val="20"/>
        </w:rPr>
      </w:pPr>
      <w:r>
        <w:rPr>
          <w:rFonts w:ascii="Times New Roman" w:hAnsi="Times New Roman"/>
          <w:b/>
          <w:sz w:val="20"/>
        </w:rPr>
        <w:t xml:space="preserve">Company Overview </w:t>
      </w:r>
    </w:p>
    <w:p>
      <w:pPr>
        <w:pStyle w:val="TextBody"/>
        <w:bidi w:val="0"/>
        <w:spacing w:before="120" w:after="0"/>
        <w:jc w:val="left"/>
        <w:rPr>
          <w:rFonts w:ascii="Times New Roman" w:hAnsi="Times New Roman"/>
          <w:sz w:val="20"/>
        </w:rPr>
      </w:pPr>
      <w:r>
        <w:rPr>
          <w:rFonts w:ascii="Times New Roman" w:hAnsi="Times New Roman"/>
          <w:sz w:val="20"/>
        </w:rPr>
        <w:t>We are a clinical-stage biotechnology company developing precision therapies to treat solid tumors designed to preserve organ function. Our lead candidate bel-sar is in late-stage clinical development for the treatment of patients with early choroidal melanoma (defined as small choroidal melanoma and/or indeterminate lesions) and is also in clinical development for other ocular oncology indications.</w:t>
      </w:r>
    </w:p>
    <w:p>
      <w:pPr>
        <w:pStyle w:val="TextBody"/>
        <w:bidi w:val="0"/>
        <w:spacing w:before="240" w:after="0"/>
        <w:jc w:val="left"/>
        <w:rPr>
          <w:rFonts w:ascii="Times New Roman" w:hAnsi="Times New Roman"/>
          <w:sz w:val="20"/>
        </w:rPr>
      </w:pPr>
      <w:r>
        <w:rPr>
          <w:rFonts w:ascii="Times New Roman" w:hAnsi="Times New Roman"/>
          <w:sz w:val="20"/>
        </w:rPr>
        <w:t xml:space="preserve">There is significant unmet need for novel treatments for patients with choroidal melanoma, given the limitations of the current standard of care, or SoC, and patient reluctance to undergo radiotherapy in the form of either plaque brachytherapy or proton beam therapy, both highly-invasive therapies that result in significant vision loss, and potential legal blindness in the treated eye. Enucleation, or surgical removal of the affected eye, is another treatment option for patients with choroidal melanoma, in which patients lose all vision without the possibility of vision restoration. We are evaluating the safety and efficacy of bel-sar as a potential vision-sparing therapy in our ongoing global Phase 3 CoMpass trial for the first-line treatment of adult patients with early choroidal melanoma. Moreover, we intend to assess the safety and efficacy of bel-sar in treating a range of other solid tumors, beginning with metastases to the choroid cancer where bel-sar is in clinical development as well as cancers of the ocular surface. We believe bel-sar, if approved, has the potential to change the current treatment paradigm for patients with ocular cancers and other solid tumors.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History </w:t>
      </w:r>
    </w:p>
    <w:p>
      <w:pPr>
        <w:pStyle w:val="TextBody"/>
        <w:bidi w:val="0"/>
        <w:spacing w:before="120" w:after="0"/>
        <w:jc w:val="left"/>
        <w:rPr>
          <w:rFonts w:ascii="Times New Roman" w:hAnsi="Times New Roman"/>
          <w:sz w:val="20"/>
        </w:rPr>
      </w:pPr>
      <w:r>
        <w:rPr>
          <w:rFonts w:ascii="Times New Roman" w:hAnsi="Times New Roman"/>
          <w:sz w:val="20"/>
        </w:rPr>
        <w:t xml:space="preserve">Aura Biosciences, Inc. was incorporated in Delaware in January 2009. Our principal executive office is located at 80 Guest Street, Boston, MA 02135 and our telephone number is (617) 500-8864. Information about us is available on our corporate website at www.aurabiosciences.com. Information available on our website is not a part of, and is not incorporated into, this prospectus supplement. We trade on The Nasdaq Global Market under the ticker symbol “AURA”. We do not incorporate the information on or accessible through our website into this prospectus supplement, and you should not consider any information on, or that can be accessed through, our website as part of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Implications of Being an Emerging Growth Company and a Smaller Reporting Company </w:t>
      </w:r>
    </w:p>
    <w:p>
      <w:pPr>
        <w:pStyle w:val="TextBody"/>
        <w:bidi w:val="0"/>
        <w:spacing w:before="120" w:after="0"/>
        <w:jc w:val="left"/>
        <w:rPr>
          <w:rFonts w:ascii="Times New Roman" w:hAnsi="Times New Roman"/>
          <w:sz w:val="20"/>
        </w:rPr>
      </w:pPr>
      <w:r>
        <w:rPr>
          <w:rFonts w:ascii="Times New Roman" w:hAnsi="Times New Roman"/>
          <w:sz w:val="20"/>
        </w:rPr>
        <w:t xml:space="preserve">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permitted to only disclose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hold advisory votes on executive compensation or to obtain stockholder approval of any golden parachute arrangements not previously approved;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the auditor attestation requirement in the assessment of our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exemptions until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2026;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We are in the process of evaluating the benefits of relying on other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is more than $700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us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Shares of our common stock having an aggregate offering price of up to $200,000,000.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to be outstanding after this offering</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Up to 129,454,078 shares, assuming sales of 25,974,025 shares of our common stock in this offering at an offering price of $7.70 per share, which was the last reported sale price of our common stock on The Nasdaq Global Market on August 10, 2026. The actual number of shares of common stock issued will vary depending on the sales price under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Plan of Distribution</w:t>
            </w:r>
            <w:r>
              <w:rPr>
                <w:rFonts w:ascii="Times New Roman" w:hAnsi="Times New Roman"/>
                <w:sz w:val="20"/>
              </w:rPr>
              <w:t xml:space="preserve"> </w:t>
            </w:r>
          </w:p>
        </w:tc>
        <w:tc>
          <w:tcPr>
            <w:tcW w:w="6328" w:type="dxa"/>
            <w:tcBorders/>
          </w:tcPr>
          <w:p>
            <w:pPr>
              <w:pStyle w:val="TableContents"/>
              <w:bidi w:val="0"/>
              <w:spacing w:before="0" w:after="283"/>
              <w:jc w:val="left"/>
              <w:rPr/>
            </w:pPr>
            <w:r>
              <w:rPr/>
              <w:t>“</w:t>
            </w:r>
            <w:r>
              <w:rPr/>
              <w:t xml:space="preserve">At the market offering” that may be made from time to time on The Nasdaq Global Market or such other national securities exchange on which our common stock is then listed, through our sales agent, Jefferies LLC. See the section titled “Plan of Distribution” on page S-12 of this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Our management will retain broad discretion regarding the allocation and use of the net proceeds. We currently intend to use the net proceeds from this offering, together with our existing cash and cash equivalents, for general corporate purposes, which may include research and development and clinical development costs for our current or additional product candidates, potential strategic acquisitions or licensing of complementary businesses, services or technologies, expansion of our technology infrastructure and capabilities, working capital, capital expenditures, and other general corporate purposes. See “Use of Proceeds” on page S-8 of this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You should read the “Risk Factors” section of this prospectus supplement beginning on page S-6 and other information included in, or incorporated by reference into, this prospectus supplement for a discussion of factors to consider before deciding to purchase shares of our common stock.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The Nasdaq Global Market symbol</w:t>
      </w:r>
      <w:r>
        <w:rPr>
          <w:rFonts w:ascii="Times New Roman" w:hAnsi="Times New Roman"/>
          <w:sz w:val="20"/>
        </w:rPr>
        <w:t xml:space="preserve"> </w:t>
      </w:r>
    </w:p>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bidi w:val="0"/>
              <w:spacing w:before="0" w:after="283"/>
              <w:jc w:val="left"/>
              <w:rPr/>
            </w:pPr>
            <w:r>
              <w:rPr/>
              <w:t> </w:t>
            </w:r>
            <w:r>
              <w:rPr/>
              <w:t xml:space="preserve">AURA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our common stock to be outstanding after this offering is based on 103,480,053 shares of our common stock outstanding as of June 30,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10,097,183 shares of common stock issuable upon the exercise of stock options outstanding as of June 30, 2026, at a weighted average exercise price of $7.47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126,615 shares of common stock issuable upon the exercise of stock options granted subsequent to June 30, 2026, at a weighted average exercise price of $6.95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4,251,432 shares of common stock issuable upon the vesting of restricted stock units outstanding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85,243 shares of common stock issuable upon the vesting and settlement of restricted stock units granted subsequent to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4,493,172 shares of common stock available for future issuance under our 2021 Stock Option and Incentive Plan, or the 2021 Plan, as of June 30, 2026, as well as (i) any automatic increases in the number of shares of common stock reserved for issuance under the 2021 Plan and (ii) shares of common stock issuable under our Inducement Award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1,876,474 shares of common stock available for future issuance under our 2021 Employee Stock Purchase Plan, or the ESPP, as of June 30, 2026, as well as any automatic increases in the number of shares of common stock reserved for issuance under the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7,371,435 shares of common stock issuable upon the exercise of Pre-Funded Warrants outstanding as of June 30, 2026, at an exercise price of $0.00001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3,801,750 shares of common stock issuable upon the exercise of Common Stock Warrants outstanding as of June 30, 2026, at an exercise price of $4.90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otherwise noted, the information in this prospectus supplement assumes no exercise or settlement of outstanding stock options or restricted stock units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a140546_4"/>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Before you decide to invest in our common stock, you should carefully consider the risks and uncertainties described below and in Part I, Item 1A “Risk Factors” of our most recent Annual Report on Form 10-K, and any subsequent Quarterly Reports on Form 10-Q or Current Reports on Form 8-K we file after the date of this prospectus supplement, together with all other information contained in this prospectus supplement, the accompanying prospectus and in our filings with the SEC that we have incorporated by reference in this prospectus supplement. If any of the following risks actually occurs, our business, financial condition or results of operations could be adversely affected, which, in turn, could have a negative impact on the price of our common stock. In these circumstances, the market price of our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Risks Related to Our Common Stock and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shares of common stock in this offering, you may suffer immediate and substantial dilution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price per share of our common stock in this offering may exceed the net tangible book value per share of our common stock outstanding prior to this offering. Therefore, if you purchase shares of our common stock in this offering, you may pay a price per share that substantially exceeds our net tangible book value per share after this offering. To the extent shares are issued under outstanding options at exercise prices lower than the price of our common stock in this offering, you will incur further dilution. Assuming that an aggregate of 25,974,025 shares of our common stock are sold at a price of $7.70 per share, the last reported sale price of our common stock on The Nasdaq Global Market on August 10, 2026, for aggregate proceeds to us of $193.7 million after deducting commissions and estimated aggregate offering expenses payable by us, you will experience immediate dilution of $3.88 per share, representing the difference between our as adjusted net tangible book value per share as of June 30, 2026 after giving effect to this offering and the assumed offering price. See the section entitled “Dilution” below for a more detailed illustration of the dilution you would incur if you participate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our existing cash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titled “Use of Proceeds,” as well as our existing cash, and you will be relying on the judgment of our management regarding such application.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short-term U.S. Treasury securities with insignificant rates of return. These investments may not yield a favorable return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Future sales or issuances of our common stock in the public markets, or the perception of such sales,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actual number of shares we will issue and gross proceeds resulting from those sales,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placement notice to Jefferies at any time throughout the term of the sales agreement. The number of shares that are sold by Jefferies after delivering a placement notice will fluctuate based on the market price of our common stock during the sales period and limits we set with Jefferies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common stock offered hereby will be sold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market price volatility. </w:t>
      </w:r>
    </w:p>
    <w:p>
      <w:pPr>
        <w:pStyle w:val="TextBody"/>
        <w:bidi w:val="0"/>
        <w:spacing w:before="120" w:after="0"/>
        <w:jc w:val="left"/>
        <w:rPr>
          <w:rFonts w:ascii="Times New Roman" w:hAnsi="Times New Roman"/>
          <w:sz w:val="20"/>
        </w:rPr>
      </w:pPr>
      <w:r>
        <w:rPr>
          <w:rFonts w:ascii="Times New Roman" w:hAnsi="Times New Roman"/>
          <w:sz w:val="20"/>
        </w:rPr>
        <w:t xml:space="preserve">The stock markets in general, and the markets for pharmaceutical, biopharmaceutical and biotechnology stocks in particular, have experienced extreme price and volume fluctuations that have often been unrelated or disproportionate to the operating performance of the issuer. Furthermore, the trading price of our common stock may be adversely affected by third-parties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operating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a140546_5"/>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sales proceeds of up to $200,000,000 from time to time under this prospectus supplement.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Jefferies as a source of financing.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together with our existing cash and cash equivalents, to fund research and clinical development of current or additional pipeline candidates, working capital, capital expenditures and general corporate purposes. The expected use of the net proceeds from this offering represents our intentions based upon our current plans and business conditions, which could change in the future as our plans and business conditions evolve. The amounts and timing of our actual expenditures will depend on numerous factors, including the factors described under “Risk Factors” in this prospectus supplement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a140546_6"/>
      <w:bookmarkEnd w:id="23"/>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this offering, your ownership interest will be diluted immediately to the extent of the difference between the public offering price per share and the as-adjusted net tangible book value per share of our common stock after giving effect to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we had net tangible book value of approximately $300.3 million, or $2.90 per share of our common stock, based upon 103,480,053 shares of our common stock outstanding as of that date.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our common stock pursuant to this prospectus supplement in the aggregate amount of $200.0 million at an assumed offering price of $7.70 per share, the last reported sale price of our common stock on The Nasdaq Global Market on August 10, 2026, and after deducting commissions and estimated aggregate offering expenses payable by us, our net tangible book value as of June 30, 2026 would have been $493.9 million, or $3.82 per share of common stock. This represents an immediate increase in the net tangible book value of $0.92 per share to our existing stockholders and an immediate dilution in net tangible book value of $3.88 per share to new investors. The following table illustrates this per share dilution: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63"/>
        <w:gridCol w:w="388"/>
        <w:gridCol w:w="146"/>
        <w:gridCol w:w="450"/>
        <w:gridCol w:w="60"/>
        <w:gridCol w:w="388"/>
        <w:gridCol w:w="146"/>
        <w:gridCol w:w="450"/>
        <w:gridCol w:w="64"/>
      </w:tblGrid>
      <w:tr>
        <w:trPr/>
        <w:tc>
          <w:tcPr>
            <w:tcW w:w="5663"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offering price per share</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7.70</w:t>
            </w:r>
          </w:p>
        </w:tc>
        <w:tc>
          <w:tcPr>
            <w:tcW w:w="64" w:type="dxa"/>
            <w:tcBorders/>
            <w:shd w:fill="CCEEFF" w:val="clear"/>
            <w:vAlign w:val="bottom"/>
          </w:tcPr>
          <w:p>
            <w:pPr>
              <w:pStyle w:val="TableContents"/>
              <w:bidi w:val="0"/>
              <w:spacing w:before="0" w:after="283"/>
              <w:jc w:val="left"/>
              <w:rPr/>
            </w:pPr>
            <w:r>
              <w:rPr/>
              <w:t> </w:t>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June 30, 2026</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450" w:type="dxa"/>
            <w:tcBorders/>
            <w:vAlign w:val="bottom"/>
          </w:tcPr>
          <w:p>
            <w:pPr>
              <w:pStyle w:val="TableContents"/>
              <w:bidi w:val="0"/>
              <w:spacing w:before="0" w:after="283"/>
              <w:jc w:val="right"/>
              <w:rPr/>
            </w:pPr>
            <w:r>
              <w:rPr/>
              <w:t>2.90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per share attributable to sale of shares of common stock in this offering</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0.92</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this offering</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450" w:type="dxa"/>
            <w:tcBorders/>
            <w:vAlign w:val="bottom"/>
          </w:tcPr>
          <w:p>
            <w:pPr>
              <w:pStyle w:val="TableContents"/>
              <w:bidi w:val="0"/>
              <w:spacing w:before="0" w:after="283"/>
              <w:jc w:val="right"/>
              <w:rPr/>
            </w:pPr>
            <w:r>
              <w:rPr/>
              <w:t>3.82</w:t>
            </w:r>
          </w:p>
        </w:tc>
        <w:tc>
          <w:tcPr>
            <w:tcW w:w="64" w:type="dxa"/>
            <w:tcBorders/>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purchasing shares in this offering</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3.88</w:t>
            </w:r>
          </w:p>
        </w:tc>
        <w:tc>
          <w:tcPr>
            <w:tcW w:w="64" w:type="dxa"/>
            <w:tcBorders/>
            <w:shd w:fill="CCEEFF" w:val="clear"/>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assumes for illustrative purposes that an aggregate of 25,974,025 shares of our common stock are sold pursuant to this prospectus supplement at a price of $7.70 per share, the last reported sale price of our common stock on The Nasdaq Global Market on August 10, 2026, for aggregate gross proceeds of $200.0 million. The shares sold in this offering, if any, will be sold from time to time at various prices. An increase of $1.00 per share in the price at which the shares are sold from the assumed offering price to $8.70 per share, assuming all of our common stock in the aggregate amount of $200.0 million is sold at that price, would result in an adjusted net tangible book value per share after the offering of $3.91 per share and would increase the dilution in net tangible book value per share to new investors in this offering to $4.79 per share, after deducting commissions and estimated aggregate offering expenses payable by us. A decrease of $1.00 per share in the price at which the shares are sold from the assumed offering price to $6.70 per share, assuming all of our common stock in the aggregate amount of $200.0 million is sold at that price, would result in an adjusted net tangible book value per share after the offering of $3.70 per share and would decrease the dilution in net tangible book value per share to new investors in this offering to $3.00 per share, after deducting commissions and estimated aggregate offering expenses payable by us. This information is supplied for illustrative purposes only.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103,480,053 shares of our common stock outstanding as of June 30, 2026 and excludes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10,097,183 shares of common stock issuable upon the exercise of stock options outstanding as of June 30, 2026, at a weighted average exercise price of $7.47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126,615 shares of common stock issuable upon the exercise of stock options granted subsequent to June 30, 2026 at a weighted average exercise price of $6.95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4,251,432 shares of common stock issuable upon the vesting of restricted stock units outstanding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85,243 shares of common stock issuable upon the vesting and settlement of restricted stock units granted subsequent to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4,493,172 shares of common stock available for future issuance under our 2021 Plan as of June 30, 2026, as well as (i) any automatic increases in the number of shares of common stock reserved for future issuance under the 2021 Plan and (ii) shares of common stock issuable under our Inducement Award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1,876,474 shares of common stock available for future issuance under our ESPP as of June 30, 2026, as well as any automatic increases in the number of shares of common stock reserved for future issuance under the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7,371,435 shares of common stock issuable upon the exercise of Pre-Funded Warrants outstanding as of June 30, 2026, at an exercise price of $0.00001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3,801,750 shares of common stock issuable upon the exercise of Common Stock Warrants outstanding as of June 30, 2026, at an exercise price of $4.90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options or restricted stock units outstanding as of June 30, 2026 have been or may be exercised or settle, as applicable,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a140546_7"/>
      <w:bookmarkEnd w:id="24"/>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We currently intend to retain all available funds and any future earnings to fund the growth and development of our business. We do not intend to pay cash dividends to our stockholders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Investors should not purchase our common stock with the expectation of receiving cash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a140546_8"/>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sales agreement with Jefferies, under which we may offer and sell our shares of common stock from time to time through Jefferies acting as agent. Pursuant to this prospectus supplement, we may offer and sell up to $200,000,000 of our shares of common stock. Sales of our shares of common stock, if any, under this prospectus supplement and the accompanying prospectus will be made by any method that is deemed to be an “at the market offering” as defined in Rule 415(a)(4)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 </w:t>
      </w:r>
    </w:p>
    <w:p>
      <w:pPr>
        <w:pStyle w:val="TextBody"/>
        <w:bidi w:val="0"/>
        <w:spacing w:before="240" w:after="0"/>
        <w:jc w:val="left"/>
        <w:rPr>
          <w:rFonts w:ascii="Times New Roman" w:hAnsi="Times New Roman"/>
          <w:sz w:val="20"/>
        </w:rPr>
      </w:pPr>
      <w:r>
        <w:rPr>
          <w:rFonts w:ascii="Times New Roman" w:hAnsi="Times New Roman"/>
          <w:sz w:val="20"/>
        </w:rPr>
        <w:t xml:space="preserve">The settlement of sales of shares between us and Jefferies is generally anticipated to occur on the first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will pay Jefferies a commission of 3.0% of the aggregate gross proceeds we receive from each sale of our shares of common stock, unless we and Jefferies otherwise agree.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$100,000, in addition to certain ongoing disbursements of its legal counsel, unless we and Jefferies otherwise agree. We estimate that the total expenses for the offering, excluding any commissions or expense reimbursement payable to Jefferies under the terms of the sales agreement, will be approximately $0.3 million. The remaining sale proceeds, after deducting any other transaction fees, will equal our net proceeds from the sale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Jefferies will provide written confirmation to us before the open on The Nasdaq Global Market on the day following each day on which our shares of common stock are sold under the sales agreement. Each confirmation will include the number of shares sold on that day, the aggregate gross proceeds of such sales and the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our shares of common stock pursuant to the sales agreement will terminate as permitted therein.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the material provisions of the sales agreement does not purport to be a complete statement of its terms and conditions. A copy of the sales agreement is filed as an exhibit to the registration statement of which this prospectus supplement forms a part. </w:t>
      </w:r>
    </w:p>
    <w:p>
      <w:pPr>
        <w:pStyle w:val="TextBody"/>
        <w:bidi w:val="0"/>
        <w:spacing w:before="240" w:after="0"/>
        <w:jc w:val="left"/>
        <w:rPr>
          <w:rFonts w:ascii="Times New Roman" w:hAnsi="Times New Roman"/>
          <w:sz w:val="20"/>
        </w:rPr>
      </w:pPr>
      <w:r>
        <w:rPr>
          <w:rFonts w:ascii="Times New Roman" w:hAnsi="Times New Roman"/>
          <w:sz w:val="20"/>
        </w:rPr>
        <w:t xml:space="preserve">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prospectus supplement and the accompanying prospectus in electronic format may be made available on a website maintained by Jefferies, and Jefferies may distribute the prospectus supplement and the accompanying prospectus electronically.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a140546_9"/>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hereby will be passed upon for us by Fenwick &amp; West LLP, Seattle, Washington. Jefferies LLC is being represented in connection with this offering by Cooley LLP, New York, New York. </w:t>
      </w:r>
    </w:p>
    <w:p>
      <w:pPr>
        <w:pStyle w:val="TextBody"/>
        <w:bidi w:val="0"/>
        <w:spacing w:before="480" w:after="0"/>
        <w:jc w:val="center"/>
        <w:rPr>
          <w:rFonts w:ascii="Times New Roman" w:hAnsi="Times New Roman"/>
          <w:b/>
          <w:sz w:val="20"/>
        </w:rPr>
      </w:pPr>
      <w:bookmarkStart w:id="27" w:name="txa140546_10"/>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Aura Biosciences, Inc. incorporated by reference in Aura Biosciences, Inc.’s Annual Report on Form 10-K for the year ended December 31, 2025, have been audited by Ernst &amp; Young LLP, independent registered public accounting firm, as set forth in their report thereon incorporated by reference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 </w:t>
      </w:r>
    </w:p>
    <w:p>
      <w:pPr>
        <w:pStyle w:val="TextBody"/>
        <w:bidi w:val="0"/>
        <w:spacing w:before="480" w:after="0"/>
        <w:jc w:val="center"/>
        <w:rPr>
          <w:rFonts w:ascii="Times New Roman" w:hAnsi="Times New Roman"/>
          <w:b/>
          <w:sz w:val="20"/>
        </w:rPr>
      </w:pPr>
      <w:bookmarkStart w:id="28" w:name="txa140546_11"/>
      <w:bookmarkEnd w:id="2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and on our investor website at ir.aurabiosciences.com/. Our website is not a part of this prospectus supplement and is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as to the contents of any contract or other document are not necessarily complete, and in each instance we refer you to the copy of the contract or document filed as an exhibit to the registration statement, each such statement being qualified in all respects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a140546_12"/>
      <w:bookmarkEnd w:id="29"/>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 this prospectus much of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Form 10-K for the fiscal year ended December 31, 2025, filed with the SEC on </w:t>
            </w:r>
            <w:hyperlink r:id="rId17">
              <w:r>
                <w:rPr>
                  <w:rStyle w:val="InternetLink"/>
                  <w:rFonts w:ascii="Times New Roman" w:hAnsi="Times New Roman"/>
                  <w:sz w:val="20"/>
                </w:rPr>
                <w:t>March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definitive proxy statement on Schedule 14A (other than information furnished rather than filed), which was filed with the SEC on </w:t>
            </w:r>
            <w:hyperlink r:id="rId18">
              <w:r>
                <w:rPr>
                  <w:rStyle w:val="InternetLink"/>
                  <w:rFonts w:ascii="Times New Roman" w:hAnsi="Times New Roman"/>
                  <w:sz w:val="20"/>
                </w:rPr>
                <w:t>April  20,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filed with the SEC for the quarters ended March 31, 2026, filed with the SEC on </w:t>
            </w:r>
            <w:hyperlink r:id="rId19">
              <w:r>
                <w:rPr>
                  <w:rStyle w:val="InternetLink"/>
                  <w:rFonts w:ascii="Times New Roman" w:hAnsi="Times New Roman"/>
                  <w:sz w:val="20"/>
                </w:rPr>
                <w:t>May 11, 2026</w:t>
              </w:r>
            </w:hyperlink>
            <w:r>
              <w:rPr>
                <w:rFonts w:ascii="Times New Roman" w:hAnsi="Times New Roman"/>
                <w:sz w:val="20"/>
              </w:rPr>
              <w:t xml:space="preserve">, and June 30, 2026, filed with the SEC on </w:t>
            </w:r>
            <w:hyperlink r:id="rId20">
              <w:r>
                <w:rPr>
                  <w:rStyle w:val="InternetLink"/>
                  <w:rFonts w:ascii="Times New Roman" w:hAnsi="Times New Roman"/>
                  <w:sz w:val="20"/>
                </w:rPr>
                <w:t>August 11,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21">
              <w:r>
                <w:rPr>
                  <w:rStyle w:val="InternetLink"/>
                  <w:rFonts w:ascii="Times New Roman" w:hAnsi="Times New Roman"/>
                  <w:sz w:val="20"/>
                </w:rPr>
                <w:t>March  30, 2026</w:t>
              </w:r>
            </w:hyperlink>
            <w:r>
              <w:rPr>
                <w:rFonts w:ascii="Times New Roman" w:hAnsi="Times New Roman"/>
                <w:sz w:val="20"/>
              </w:rPr>
              <w:t xml:space="preserve"> (solely with respect to Item 8.01), </w:t>
            </w:r>
            <w:hyperlink r:id="rId22">
              <w:r>
                <w:rPr>
                  <w:rStyle w:val="InternetLink"/>
                  <w:rFonts w:ascii="Times New Roman" w:hAnsi="Times New Roman"/>
                  <w:sz w:val="20"/>
                </w:rPr>
                <w:t>May 4, 2026</w:t>
              </w:r>
            </w:hyperlink>
            <w:r>
              <w:rPr>
                <w:rFonts w:ascii="Times New Roman" w:hAnsi="Times New Roman"/>
                <w:sz w:val="20"/>
              </w:rPr>
              <w:t xml:space="preserve"> (solely with respect to Item 1.01), </w:t>
            </w:r>
            <w:hyperlink r:id="rId23">
              <w:r>
                <w:rPr>
                  <w:rStyle w:val="InternetLink"/>
                  <w:rFonts w:ascii="Times New Roman" w:hAnsi="Times New Roman"/>
                  <w:sz w:val="20"/>
                </w:rPr>
                <w:t>May  5, 2026</w:t>
              </w:r>
            </w:hyperlink>
            <w:r>
              <w:rPr>
                <w:rFonts w:ascii="Times New Roman" w:hAnsi="Times New Roman"/>
                <w:sz w:val="20"/>
              </w:rPr>
              <w:t xml:space="preserve">, </w:t>
            </w:r>
            <w:hyperlink r:id="rId24">
              <w:r>
                <w:rPr>
                  <w:rStyle w:val="InternetLink"/>
                  <w:rFonts w:ascii="Times New Roman" w:hAnsi="Times New Roman"/>
                  <w:sz w:val="20"/>
                </w:rPr>
                <w:t>May 11, 2026</w:t>
              </w:r>
            </w:hyperlink>
            <w:r>
              <w:rPr>
                <w:rFonts w:ascii="Times New Roman" w:hAnsi="Times New Roman"/>
                <w:sz w:val="20"/>
              </w:rPr>
              <w:t xml:space="preserve"> (solely with respect to Item  8.01), </w:t>
            </w:r>
            <w:hyperlink r:id="rId25">
              <w:r>
                <w:rPr>
                  <w:rStyle w:val="InternetLink"/>
                  <w:rFonts w:ascii="Times New Roman" w:hAnsi="Times New Roman"/>
                  <w:sz w:val="20"/>
                </w:rPr>
                <w:t>June  11, 2026</w:t>
              </w:r>
            </w:hyperlink>
            <w:r>
              <w:rPr>
                <w:rFonts w:ascii="Times New Roman" w:hAnsi="Times New Roman"/>
                <w:sz w:val="20"/>
              </w:rPr>
              <w:t xml:space="preserve">, </w:t>
            </w:r>
            <w:hyperlink r:id="rId26">
              <w:r>
                <w:rPr>
                  <w:rStyle w:val="InternetLink"/>
                  <w:rFonts w:ascii="Times New Roman" w:hAnsi="Times New Roman"/>
                  <w:sz w:val="20"/>
                </w:rPr>
                <w:t>July  8, 2026</w:t>
              </w:r>
            </w:hyperlink>
            <w:r>
              <w:rPr>
                <w:rFonts w:ascii="Times New Roman" w:hAnsi="Times New Roman"/>
                <w:sz w:val="20"/>
              </w:rPr>
              <w:t xml:space="preserve">, </w:t>
            </w:r>
            <w:hyperlink r:id="rId27">
              <w:r>
                <w:rPr>
                  <w:rStyle w:val="InternetLink"/>
                  <w:rFonts w:ascii="Times New Roman" w:hAnsi="Times New Roman"/>
                  <w:sz w:val="20"/>
                </w:rPr>
                <w:t>August  5, 2026</w:t>
              </w:r>
            </w:hyperlink>
            <w:r>
              <w:rPr>
                <w:rFonts w:ascii="Times New Roman" w:hAnsi="Times New Roman"/>
                <w:sz w:val="20"/>
              </w:rPr>
              <w:t xml:space="preserve"> and </w:t>
            </w:r>
            <w:hyperlink r:id="rId28">
              <w:r>
                <w:rPr>
                  <w:rStyle w:val="InternetLink"/>
                  <w:rFonts w:ascii="Times New Roman" w:hAnsi="Times New Roman"/>
                  <w:sz w:val="20"/>
                </w:rPr>
                <w:t>August 11, 2026</w:t>
              </w:r>
            </w:hyperlink>
            <w:r>
              <w:rPr>
                <w:rFonts w:ascii="Times New Roman" w:hAnsi="Times New Roman"/>
                <w:sz w:val="20"/>
              </w:rPr>
              <w:t xml:space="preserve"> (solely with respect to Items 2.05 and 5.02);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8-A filed on </w:t>
            </w:r>
            <w:hyperlink r:id="rId29">
              <w:r>
                <w:rPr>
                  <w:rStyle w:val="InternetLink"/>
                  <w:rFonts w:ascii="Times New Roman" w:hAnsi="Times New Roman"/>
                  <w:sz w:val="20"/>
                </w:rPr>
                <w:t>October 26, 2021</w:t>
              </w:r>
            </w:hyperlink>
            <w:r>
              <w:rPr>
                <w:rFonts w:ascii="Times New Roman" w:hAnsi="Times New Roman"/>
                <w:sz w:val="20"/>
              </w:rPr>
              <w:t xml:space="preserve">, and as set forth by the description of the Registrant’s common stock set forth in Exhibit 4.1 filed herewith, including any other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reports and other documents filed by us pursuant to the Exchange Act after the date of the initial registration statement and prior to effectiveness of the registration statement shall be deemed to be incorporated by reference into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phone number: </w:t>
      </w:r>
    </w:p>
    <w:p>
      <w:pPr>
        <w:pStyle w:val="TextBody"/>
        <w:bidi w:val="0"/>
        <w:spacing w:before="120" w:after="0"/>
        <w:jc w:val="center"/>
        <w:rPr>
          <w:rFonts w:ascii="Times New Roman" w:hAnsi="Times New Roman"/>
          <w:sz w:val="20"/>
        </w:rPr>
      </w:pPr>
      <w:r>
        <w:rPr>
          <w:rFonts w:ascii="Times New Roman" w:hAnsi="Times New Roman"/>
          <w:sz w:val="20"/>
        </w:rPr>
        <w:t xml:space="preserve">Aura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80 Guest Street </w:t>
      </w:r>
    </w:p>
    <w:p>
      <w:pPr>
        <w:pStyle w:val="TextBody"/>
        <w:bidi w:val="0"/>
        <w:spacing w:before="0" w:after="0"/>
        <w:jc w:val="center"/>
        <w:rPr>
          <w:rFonts w:ascii="Times New Roman" w:hAnsi="Times New Roman"/>
          <w:sz w:val="20"/>
        </w:rPr>
      </w:pPr>
      <w:r>
        <w:rPr>
          <w:rFonts w:ascii="Times New Roman" w:hAnsi="Times New Roman"/>
          <w:sz w:val="20"/>
        </w:rPr>
        <w:t xml:space="preserve">Boston, MA 02135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(617) 500-8864</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076325"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0"/>
                    <a:stretch>
                      <a:fillRect/>
                    </a:stretch>
                  </pic:blipFill>
                  <pic:spPr bwMode="auto">
                    <a:xfrm>
                      <a:off x="0" y="0"/>
                      <a:ext cx="1076325" cy="266700"/>
                    </a:xfrm>
                    <a:prstGeom prst="rect">
                      <a:avLst/>
                    </a:prstGeom>
                  </pic:spPr>
                </pic:pic>
              </a:graphicData>
            </a:graphic>
          </wp:inline>
        </w:drawing>
      </w:r>
      <w:r>
        <w:rPr/>
        <w:t xml:space="preserve"> </w:t>
      </w:r>
    </w:p>
    <w:p>
      <w:pPr>
        <w:pStyle w:val="TextBody"/>
        <w:bidi w:val="0"/>
        <w:spacing w:before="800" w:after="0"/>
        <w:jc w:val="center"/>
        <w:rPr>
          <w:rFonts w:ascii="Times New Roman" w:hAnsi="Times New Roman"/>
          <w:b/>
          <w:sz w:val="28"/>
        </w:rPr>
      </w:pPr>
      <w:r>
        <w:rPr>
          <w:rFonts w:ascii="Times New Roman" w:hAnsi="Times New Roman"/>
          <w:b/>
          <w:sz w:val="28"/>
        </w:rPr>
        <w:t xml:space="preserve">Up to $200,000,000 </w:t>
      </w:r>
    </w:p>
    <w:p>
      <w:pPr>
        <w:pStyle w:val="TextBody"/>
        <w:bidi w:val="0"/>
        <w:spacing w:before="70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various expenses to be incurred in connection with the sale and distribution of the securities being registered.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3"/>
        <w:gridCol w:w="414"/>
        <w:gridCol w:w="142"/>
        <w:gridCol w:w="757"/>
        <w:gridCol w:w="63"/>
      </w:tblGrid>
      <w:tr>
        <w:trPr/>
        <w:tc>
          <w:tcPr>
            <w:tcW w:w="5563"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69,050</w:t>
            </w:r>
          </w:p>
        </w:tc>
        <w:tc>
          <w:tcPr>
            <w:tcW w:w="63" w:type="dxa"/>
            <w:tcBorders/>
            <w:shd w:fill="CCEEFF" w:val="clear"/>
            <w:vAlign w:val="bottom"/>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w:t>
            </w:r>
          </w:p>
        </w:tc>
        <w:tc>
          <w:tcPr>
            <w:tcW w:w="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services</w:t>
            </w:r>
          </w:p>
        </w:tc>
        <w:tc>
          <w:tcPr>
            <w:tcW w:w="4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Legal fees of registrant’s counsel</w:t>
            </w:r>
          </w:p>
        </w:tc>
        <w:tc>
          <w:tcPr>
            <w:tcW w:w="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number of issuances and the amount of securities offered and accordingly cannot be estimated at this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or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provisions in our certificate of incorporation and bylaws that limit or eliminate the personal liability of our directors and officers to the fullest extent permitted by the DGCL, as it now exists or may in the future be amended. Consequently, a director or officer will not be personally liable to us or our stockholders for monetary damages or breach of fiduciary duty as a director or officer,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or officer’s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director, any unlawful payments related to dividends or unlawful stock purchases, redemptions or other distributions;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or officer derived an improper personal benefit; 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an officer, arising from any claim brought by or in right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bylaws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indemnify our directors, officers and, in the discretion of our board of directors, certain employees to the fullest extent permitted by the DGCL, as it now exists or may in the future be amended; and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advance reasonable expenses, including attorneys’ fees, to our directors and, in the discretion of our board of directors, to our officers and certain employees, in connection with legal proceedings relating to their service for or on behalf of us, subject to limited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5"/>
        <w:gridCol w:w="595"/>
        <w:gridCol w:w="8915"/>
      </w:tblGrid>
      <w:tr>
        <w:trPr/>
        <w:tc>
          <w:tcPr>
            <w:tcW w:w="695"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8915"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595"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center"/>
              <w:rPr>
                <w:b/>
              </w:rPr>
            </w:pPr>
            <w:r>
              <w:rPr>
                <w:b/>
              </w:rPr>
              <w:t>Description</w:t>
            </w:r>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1.1*</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r>
              <w:rPr/>
              <w:t>Form of Underwriting Agreement</w:t>
            </w:r>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1.2</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hyperlink w:anchor="d140546dex12.htm">
              <w:r>
                <w:rPr>
                  <w:rStyle w:val="InternetLink"/>
                </w:rPr>
                <w:t xml:space="preserve">Open Market Sale AgreementSM, dated as of August 11, 2026, by and between the Registrant and Jefferies LLC (filed herewith)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3.1</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hyperlink r:id="rId31">
              <w:r>
                <w:rPr>
                  <w:rStyle w:val="InternetLink"/>
                </w:rPr>
                <w:t>Tenth Amended and Restated Certificate of Incorporation of Registrant, as currently in effect (incorporated by reference to Exhibit 3.1 of the Registrant’s Quarterly Report on Form 10-Q (File No. 001-40971) filed with the SEC on August 11, 2026)</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3.2</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hyperlink r:id="rId32">
              <w:r>
                <w:rPr>
                  <w:rStyle w:val="InternetLink"/>
                </w:rPr>
                <w:t xml:space="preserve">Amended and Restated By-laws of the Registrant, as currently in effect (incorporated by reference to Exhibit 3.2 of the Registrant’s Annual Report on Form 10-K (File No. 001-40971) filed with the SEC on March 23, 2022)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4.1</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hyperlink w:anchor="d140546dex41.htm">
              <w:r>
                <w:rPr>
                  <w:rStyle w:val="InternetLink"/>
                </w:rPr>
                <w:t xml:space="preserve">Description of Securities registered under Section 12 of the Securities Exchange Act of 1934, as amended (filed herewith).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4.2</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hyperlink r:id="rId33">
              <w:r>
                <w:rPr>
                  <w:rStyle w:val="InternetLink"/>
                </w:rPr>
                <w:t xml:space="preserve">Fifth Amended and Restated Investors’ Rights Agreement among the Registrant and certain of its stockholders, dated March  18, 2021 (incorporated by reference to Exhibit 4.2 to the Registrant’s Registration Statement on Form S-1 (File No.  333-260156) filed with the SEC on October 8, 2021)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4.3</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hyperlink r:id="rId34">
              <w:r>
                <w:rPr>
                  <w:rStyle w:val="InternetLink"/>
                </w:rPr>
                <w:t xml:space="preserve">Form of Specimen Common Stock Certificate (incorporated by reference to Exhibit 4.1 of the Registrant’s Registration Statement on Form S-1, as amended (File No. 333-260156)) filed with the SEC on September 25, 2021)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4.4*</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r>
              <w:rPr/>
              <w:t>Specimen Certificate for Preferred Stock</w:t>
            </w:r>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4.5*</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r>
              <w:rPr/>
              <w:t>Form of Certificate of Designations</w:t>
            </w:r>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4.6</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hyperlink r:id="rId35">
              <w:r>
                <w:rPr>
                  <w:rStyle w:val="InternetLink"/>
                </w:rPr>
                <w:t xml:space="preserve">Form of Senior Indenture between Registrant and one or more trustees to be named (incorporated by reference to Exhibit 4.5 of the Registrant’s Registration Statement on Form S-3 (File No. 333-268105) filed with the SEC on November 1, 2022)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4.7</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hyperlink r:id="rId36">
              <w:r>
                <w:rPr>
                  <w:rStyle w:val="InternetLink"/>
                </w:rPr>
                <w:t xml:space="preserve">Form of Subordinated Indenture between Registrant and one or more trustees to be named (incorporated by reference to Exhibit 4.6 of the Registrant’s Registration Statement on Form S-3 (File No. 333-268105) filed with the SEC on November 1, 2022)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4.8*</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r>
              <w:rPr/>
              <w:t>Form of Warrant Agreement</w:t>
            </w:r>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4.9*</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r>
              <w:rPr/>
              <w:t>Form of Unit Agreement</w:t>
            </w:r>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 </w:t>
            </w:r>
            <w:r>
              <w:rPr/>
              <w:t>5.1</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hyperlink w:anchor="d140546dex51.htm">
              <w:r>
                <w:rPr>
                  <w:rStyle w:val="InternetLink"/>
                </w:rPr>
                <w:t xml:space="preserve">Opinion of Fenwick &amp; West LLP (filed herewith)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23.1</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hyperlink w:anchor="d140546dex231.htm">
              <w:r>
                <w:rPr>
                  <w:rStyle w:val="InternetLink"/>
                </w:rPr>
                <w:t xml:space="preserve">Consent of Ernst &amp; Young LLP, independent registered public accounting firm for the Registrant (filed herewith)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23.2</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hyperlink w:anchor="d140546dex51.htm">
              <w:r>
                <w:rPr>
                  <w:rStyle w:val="InternetLink"/>
                </w:rPr>
                <w:t xml:space="preserve">Consent of Fenwick &amp; West LLP (included in Exhibit 5.1)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24</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hyperlink w:anchor="sig">
              <w:r>
                <w:rPr>
                  <w:rStyle w:val="InternetLink"/>
                </w:rPr>
                <w:t xml:space="preserve">Power of Attorney (included in the signature pages to the Registration Statement) </w:t>
              </w:r>
            </w:hyperlink>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25.1**</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r>
              <w:rPr/>
              <w:t>Form T-1 Statement of Eligibility of Trustee for Senior Indenture under the Trust Indenture Act of 1939, as amended</w:t>
            </w:r>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25.2**</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r>
              <w:rPr/>
              <w:t>Form T-1 Statement of Eligibility of Trustee for Subordinated Indenture under the Trust Indenture Act of 1939, as amended</w:t>
            </w:r>
          </w:p>
        </w:tc>
      </w:tr>
      <w:tr>
        <w:trPr>
          <w:trHeight w:val="120" w:hRule="atLeast"/>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107</w:t>
            </w:r>
          </w:p>
        </w:tc>
        <w:tc>
          <w:tcPr>
            <w:tcW w:w="595" w:type="dxa"/>
            <w:tcBorders/>
            <w:vAlign w:val="bottom"/>
          </w:tcPr>
          <w:p>
            <w:pPr>
              <w:pStyle w:val="TableContents"/>
              <w:bidi w:val="0"/>
              <w:spacing w:before="0" w:after="283"/>
              <w:jc w:val="left"/>
              <w:rPr/>
            </w:pPr>
            <w:r>
              <w:rPr/>
              <w:t>  </w:t>
            </w:r>
          </w:p>
        </w:tc>
        <w:tc>
          <w:tcPr>
            <w:tcW w:w="8915" w:type="dxa"/>
            <w:tcBorders/>
          </w:tcPr>
          <w:p>
            <w:pPr>
              <w:pStyle w:val="TableContents"/>
              <w:bidi w:val="0"/>
              <w:spacing w:before="0" w:after="283"/>
              <w:jc w:val="left"/>
              <w:rPr/>
            </w:pPr>
            <w:hyperlink w:anchor="d140546dexfilingfees.htm">
              <w:r>
                <w:rPr>
                  <w:rStyle w:val="InternetLink"/>
                </w:rPr>
                <w:t xml:space="preserve">Filing Fee Table (filed herewith)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by a Current Report on Form 8-K.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pursuant to Section 305(b)(2) of the Trust Indenture Act of 1939.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(a)(1)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as amended, or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this registration statement or any material change to such information in this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or the Exchange Act, that are incorporated by reference in this registration statement, or is contained in a form of prospectus filed pursuant to Rule 424(b) that is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such undersigned Registrant relating to the offering required to be filed pursuant to Rule 424; </w:t>
      </w:r>
    </w:p>
    <w:p>
      <w:pPr>
        <w:pStyle w:val="TextBody"/>
        <w:bidi w:val="0"/>
        <w:spacing w:before="24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such undersigned Registrant or used or referred to by such undersigned Registrant; </w:t>
      </w:r>
    </w:p>
    <w:p>
      <w:pPr>
        <w:pStyle w:val="TextBody"/>
        <w:bidi w:val="0"/>
        <w:spacing w:before="24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such undersigned Registrant or its securities provided by or on behalf of such undersigned Registrant; and </w:t>
      </w:r>
    </w:p>
    <w:p>
      <w:pPr>
        <w:pStyle w:val="TextBody"/>
        <w:bidi w:val="0"/>
        <w:spacing w:before="240" w:after="0"/>
        <w:jc w:val="left"/>
        <w:rPr>
          <w:rFonts w:ascii="Times New Roman" w:hAnsi="Times New Roman"/>
          <w:sz w:val="20"/>
        </w:rPr>
      </w:pPr>
      <w:r>
        <w:rPr>
          <w:rFonts w:ascii="Times New Roman" w:hAnsi="Times New Roman"/>
          <w:sz w:val="20"/>
        </w:rPr>
        <w:t xml:space="preserve">(iv) any other communication that is an offer in the offering made by such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(b)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(h)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(j) To file an application for the purpose of determining the eligibility of the trustee to act under subsection (a) of Section 310 of the Trust Indenture Act of 1939 in accordance with the rules and regulations prescribed by the Commission under Section 305(b)(2) of the Trust Indenture Act of 1939.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sig"/>
      <w:bookmarkEnd w:id="30"/>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Boston, Commonwealth of Massachusetts, on this 11th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AURA BIOSCIENCES,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center"/>
              <w:rPr/>
            </w:pPr>
            <w:r>
              <w:rPr/>
              <w:t>/s/ Natalie Holles</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center"/>
              <w:rPr/>
            </w:pPr>
            <w:r>
              <w:rPr/>
              <w:t>Natalie Holles</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center"/>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AND SIGNATURES </w:t>
      </w:r>
    </w:p>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 that each individual whose signature appears below hereby constitutes and appoints Natalie Holles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S-3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 Pursuant to the requirements of the Securities Act of 1933, this Registration Statement has been signed by the following person in the capacities and on the date indicated.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2"/>
        <w:gridCol w:w="120"/>
        <w:gridCol w:w="3511"/>
        <w:gridCol w:w="201"/>
        <w:gridCol w:w="1951"/>
      </w:tblGrid>
      <w:tr>
        <w:trPr/>
        <w:tc>
          <w:tcPr>
            <w:tcW w:w="44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4422" w:type="dxa"/>
            <w:tcBorders/>
            <w:vAlign w:val="bottom"/>
          </w:tcPr>
          <w:p>
            <w:pPr>
              <w:pStyle w:val="TableContents"/>
              <w:bidi w:val="0"/>
              <w:spacing w:before="0" w:after="283"/>
              <w:jc w:val="center"/>
              <w:rPr>
                <w:b/>
              </w:rPr>
            </w:pPr>
            <w:r>
              <w:rPr>
                <w:b/>
              </w:rPr>
              <w:t>Name</w:t>
            </w:r>
          </w:p>
        </w:tc>
        <w:tc>
          <w:tcPr>
            <w:tcW w:w="120" w:type="dxa"/>
            <w:tcBorders/>
            <w:vAlign w:val="bottom"/>
          </w:tcPr>
          <w:p>
            <w:pPr>
              <w:pStyle w:val="TableContents"/>
              <w:bidi w:val="0"/>
              <w:spacing w:before="0" w:after="283"/>
              <w:jc w:val="left"/>
              <w:rPr/>
            </w:pPr>
            <w:r>
              <w:rPr/>
              <w:t>  </w:t>
            </w:r>
          </w:p>
        </w:tc>
        <w:tc>
          <w:tcPr>
            <w:tcW w:w="3511" w:type="dxa"/>
            <w:tcBorders/>
            <w:vAlign w:val="bottom"/>
          </w:tcPr>
          <w:p>
            <w:pPr>
              <w:pStyle w:val="TableContents"/>
              <w:bidi w:val="0"/>
              <w:spacing w:before="0" w:after="283"/>
              <w:jc w:val="center"/>
              <w:rPr>
                <w:b/>
              </w:rPr>
            </w:pPr>
            <w:r>
              <w:rPr>
                <w:b/>
              </w:rPr>
              <w:t>Title</w:t>
            </w:r>
          </w:p>
        </w:tc>
        <w:tc>
          <w:tcPr>
            <w:tcW w:w="201" w:type="dxa"/>
            <w:tcBorders/>
            <w:vAlign w:val="bottom"/>
          </w:tcPr>
          <w:p>
            <w:pPr>
              <w:pStyle w:val="TableContents"/>
              <w:bidi w:val="0"/>
              <w:spacing w:before="0" w:after="283"/>
              <w:jc w:val="left"/>
              <w:rPr/>
            </w:pPr>
            <w:r>
              <w:rPr/>
              <w:t> </w:t>
            </w:r>
          </w:p>
        </w:tc>
        <w:tc>
          <w:tcPr>
            <w:tcW w:w="1951" w:type="dxa"/>
            <w:tcBorders/>
            <w:vAlign w:val="bottom"/>
          </w:tcPr>
          <w:p>
            <w:pPr>
              <w:pStyle w:val="TableContents"/>
              <w:bidi w:val="0"/>
              <w:spacing w:before="0" w:after="283"/>
              <w:jc w:val="center"/>
              <w:rPr>
                <w:b/>
              </w:rPr>
            </w:pPr>
            <w:r>
              <w:rPr>
                <w:b/>
              </w:rPr>
              <w:t>Date</w:t>
            </w:r>
          </w:p>
        </w:tc>
      </w:tr>
      <w:tr>
        <w:trPr>
          <w:trHeight w:val="240" w:hRule="atLeast"/>
        </w:trPr>
        <w:tc>
          <w:tcPr>
            <w:tcW w:w="4422" w:type="dxa"/>
            <w:tcBorders/>
            <w:vAlign w:val="center"/>
          </w:tcPr>
          <w:p>
            <w:pPr>
              <w:pStyle w:val="TableContents"/>
              <w:bidi w:val="0"/>
              <w:spacing w:before="0" w:after="283"/>
              <w:jc w:val="left"/>
              <w:rPr>
                <w:sz w:val="4"/>
                <w:szCs w:val="4"/>
              </w:rPr>
            </w:pPr>
            <w:r>
              <w:rPr>
                <w:sz w:val="4"/>
                <w:szCs w:val="4"/>
              </w:rPr>
            </w:r>
          </w:p>
        </w:tc>
        <w:tc>
          <w:tcPr>
            <w:tcW w:w="3631" w:type="dxa"/>
            <w:gridSpan w:val="2"/>
            <w:tcBorders/>
            <w:vAlign w:val="center"/>
          </w:tcPr>
          <w:p>
            <w:pPr>
              <w:pStyle w:val="TableContents"/>
              <w:bidi w:val="0"/>
              <w:spacing w:before="0" w:after="283"/>
              <w:jc w:val="left"/>
              <w:rPr>
                <w:sz w:val="4"/>
                <w:szCs w:val="4"/>
              </w:rPr>
            </w:pPr>
            <w:r>
              <w:rPr>
                <w:sz w:val="4"/>
                <w:szCs w:val="4"/>
              </w:rPr>
            </w:r>
          </w:p>
        </w:tc>
        <w:tc>
          <w:tcPr>
            <w:tcW w:w="2152" w:type="dxa"/>
            <w:gridSpan w:val="2"/>
            <w:tcBorders/>
            <w:vAlign w:val="center"/>
          </w:tcPr>
          <w:p>
            <w:pPr>
              <w:pStyle w:val="TableContents"/>
              <w:bidi w:val="0"/>
              <w:spacing w:before="0" w:after="283"/>
              <w:jc w:val="left"/>
              <w:rPr>
                <w:sz w:val="4"/>
                <w:szCs w:val="4"/>
              </w:rPr>
            </w:pPr>
            <w:r>
              <w:rPr>
                <w:sz w:val="4"/>
                <w:szCs w:val="4"/>
              </w:rPr>
            </w:r>
          </w:p>
        </w:tc>
      </w:tr>
      <w:tr>
        <w:trPr/>
        <w:tc>
          <w:tcPr>
            <w:tcW w:w="442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 xml:space="preserve">/s/ Natalie Holles </w:t>
            </w:r>
          </w:p>
          <w:p>
            <w:pPr>
              <w:pStyle w:val="TableContents"/>
              <w:bidi w:val="0"/>
              <w:spacing w:before="0" w:after="20"/>
              <w:jc w:val="center"/>
              <w:rPr>
                <w:rFonts w:ascii="Times New Roman" w:hAnsi="Times New Roman"/>
                <w:sz w:val="20"/>
              </w:rPr>
            </w:pPr>
            <w:r>
              <w:rPr>
                <w:rFonts w:ascii="Times New Roman" w:hAnsi="Times New Roman"/>
                <w:sz w:val="20"/>
              </w:rPr>
              <w:t>Natalie Holles</w:t>
            </w:r>
          </w:p>
        </w:tc>
        <w:tc>
          <w:tcPr>
            <w:tcW w:w="120"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w:t>
              <w:br/>
              <w:t>(Principal Executive Officer)</w:t>
            </w:r>
          </w:p>
        </w:tc>
        <w:tc>
          <w:tcPr>
            <w:tcW w:w="201" w:type="dxa"/>
            <w:tcBorders/>
            <w:vAlign w:val="bottom"/>
          </w:tcPr>
          <w:p>
            <w:pPr>
              <w:pStyle w:val="TableContents"/>
              <w:bidi w:val="0"/>
              <w:spacing w:before="0" w:after="283"/>
              <w:jc w:val="left"/>
              <w:rPr/>
            </w:pPr>
            <w:r>
              <w:rPr/>
              <w:t> </w:t>
            </w:r>
          </w:p>
        </w:tc>
        <w:tc>
          <w:tcPr>
            <w:tcW w:w="1951" w:type="dxa"/>
            <w:tcBorders/>
          </w:tcPr>
          <w:p>
            <w:pPr>
              <w:pStyle w:val="TableContents"/>
              <w:bidi w:val="0"/>
              <w:spacing w:before="0" w:after="283"/>
              <w:jc w:val="center"/>
              <w:rPr/>
            </w:pPr>
            <w:r>
              <w:rPr/>
              <w:t>August 11, 2026</w:t>
            </w:r>
          </w:p>
        </w:tc>
      </w:tr>
      <w:tr>
        <w:trPr>
          <w:trHeight w:val="240" w:hRule="atLeast"/>
        </w:trPr>
        <w:tc>
          <w:tcPr>
            <w:tcW w:w="4422" w:type="dxa"/>
            <w:tcBorders/>
            <w:vAlign w:val="center"/>
          </w:tcPr>
          <w:p>
            <w:pPr>
              <w:pStyle w:val="TableContents"/>
              <w:bidi w:val="0"/>
              <w:spacing w:before="0" w:after="283"/>
              <w:jc w:val="left"/>
              <w:rPr>
                <w:sz w:val="4"/>
                <w:szCs w:val="4"/>
              </w:rPr>
            </w:pPr>
            <w:r>
              <w:rPr>
                <w:sz w:val="4"/>
                <w:szCs w:val="4"/>
              </w:rPr>
            </w:r>
          </w:p>
        </w:tc>
        <w:tc>
          <w:tcPr>
            <w:tcW w:w="3631" w:type="dxa"/>
            <w:gridSpan w:val="2"/>
            <w:tcBorders/>
            <w:vAlign w:val="center"/>
          </w:tcPr>
          <w:p>
            <w:pPr>
              <w:pStyle w:val="TableContents"/>
              <w:bidi w:val="0"/>
              <w:spacing w:before="0" w:after="283"/>
              <w:jc w:val="left"/>
              <w:rPr>
                <w:sz w:val="4"/>
                <w:szCs w:val="4"/>
              </w:rPr>
            </w:pPr>
            <w:r>
              <w:rPr>
                <w:sz w:val="4"/>
                <w:szCs w:val="4"/>
              </w:rPr>
            </w:r>
          </w:p>
        </w:tc>
        <w:tc>
          <w:tcPr>
            <w:tcW w:w="2152" w:type="dxa"/>
            <w:gridSpan w:val="2"/>
            <w:tcBorders/>
            <w:vAlign w:val="center"/>
          </w:tcPr>
          <w:p>
            <w:pPr>
              <w:pStyle w:val="TableContents"/>
              <w:bidi w:val="0"/>
              <w:spacing w:before="0" w:after="283"/>
              <w:jc w:val="left"/>
              <w:rPr>
                <w:sz w:val="4"/>
                <w:szCs w:val="4"/>
              </w:rPr>
            </w:pPr>
            <w:r>
              <w:rPr>
                <w:sz w:val="4"/>
                <w:szCs w:val="4"/>
              </w:rPr>
            </w:r>
          </w:p>
        </w:tc>
      </w:tr>
      <w:tr>
        <w:trPr/>
        <w:tc>
          <w:tcPr>
            <w:tcW w:w="442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Anthony Gibney</w:t>
            </w:r>
          </w:p>
          <w:p>
            <w:pPr>
              <w:pStyle w:val="TableContents"/>
              <w:bidi w:val="0"/>
              <w:spacing w:before="0" w:after="20"/>
              <w:jc w:val="center"/>
              <w:rPr>
                <w:rFonts w:ascii="Times New Roman" w:hAnsi="Times New Roman"/>
                <w:sz w:val="20"/>
              </w:rPr>
            </w:pPr>
            <w:r>
              <w:rPr>
                <w:rFonts w:ascii="Times New Roman" w:hAnsi="Times New Roman"/>
                <w:sz w:val="20"/>
              </w:rPr>
              <w:t>Anthony Gibney</w:t>
            </w:r>
          </w:p>
        </w:tc>
        <w:tc>
          <w:tcPr>
            <w:tcW w:w="120"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and Business Officer</w:t>
              <w:br/>
              <w:t>(Principal Financial Officer)</w:t>
            </w:r>
          </w:p>
        </w:tc>
        <w:tc>
          <w:tcPr>
            <w:tcW w:w="201" w:type="dxa"/>
            <w:tcBorders/>
            <w:vAlign w:val="bottom"/>
          </w:tcPr>
          <w:p>
            <w:pPr>
              <w:pStyle w:val="TableContents"/>
              <w:bidi w:val="0"/>
              <w:spacing w:before="0" w:after="283"/>
              <w:jc w:val="left"/>
              <w:rPr/>
            </w:pPr>
            <w:r>
              <w:rPr/>
              <w:t> </w:t>
            </w:r>
          </w:p>
        </w:tc>
        <w:tc>
          <w:tcPr>
            <w:tcW w:w="1951" w:type="dxa"/>
            <w:tcBorders/>
          </w:tcPr>
          <w:p>
            <w:pPr>
              <w:pStyle w:val="TableContents"/>
              <w:bidi w:val="0"/>
              <w:spacing w:before="0" w:after="283"/>
              <w:jc w:val="center"/>
              <w:rPr/>
            </w:pPr>
            <w:r>
              <w:rPr/>
              <w:t>August 11, 2026</w:t>
            </w:r>
          </w:p>
        </w:tc>
      </w:tr>
      <w:tr>
        <w:trPr>
          <w:trHeight w:val="240" w:hRule="atLeast"/>
        </w:trPr>
        <w:tc>
          <w:tcPr>
            <w:tcW w:w="4422" w:type="dxa"/>
            <w:tcBorders/>
            <w:vAlign w:val="center"/>
          </w:tcPr>
          <w:p>
            <w:pPr>
              <w:pStyle w:val="TableContents"/>
              <w:bidi w:val="0"/>
              <w:spacing w:before="0" w:after="283"/>
              <w:jc w:val="left"/>
              <w:rPr>
                <w:sz w:val="4"/>
                <w:szCs w:val="4"/>
              </w:rPr>
            </w:pPr>
            <w:r>
              <w:rPr>
                <w:sz w:val="4"/>
                <w:szCs w:val="4"/>
              </w:rPr>
            </w:r>
          </w:p>
        </w:tc>
        <w:tc>
          <w:tcPr>
            <w:tcW w:w="3631" w:type="dxa"/>
            <w:gridSpan w:val="2"/>
            <w:tcBorders/>
            <w:vAlign w:val="center"/>
          </w:tcPr>
          <w:p>
            <w:pPr>
              <w:pStyle w:val="TableContents"/>
              <w:bidi w:val="0"/>
              <w:spacing w:before="0" w:after="283"/>
              <w:jc w:val="left"/>
              <w:rPr>
                <w:sz w:val="4"/>
                <w:szCs w:val="4"/>
              </w:rPr>
            </w:pPr>
            <w:r>
              <w:rPr>
                <w:sz w:val="4"/>
                <w:szCs w:val="4"/>
              </w:rPr>
            </w:r>
          </w:p>
        </w:tc>
        <w:tc>
          <w:tcPr>
            <w:tcW w:w="2152" w:type="dxa"/>
            <w:gridSpan w:val="2"/>
            <w:tcBorders/>
            <w:vAlign w:val="center"/>
          </w:tcPr>
          <w:p>
            <w:pPr>
              <w:pStyle w:val="TableContents"/>
              <w:bidi w:val="0"/>
              <w:spacing w:before="0" w:after="283"/>
              <w:jc w:val="left"/>
              <w:rPr>
                <w:sz w:val="4"/>
                <w:szCs w:val="4"/>
              </w:rPr>
            </w:pPr>
            <w:r>
              <w:rPr>
                <w:sz w:val="4"/>
                <w:szCs w:val="4"/>
              </w:rPr>
            </w:r>
          </w:p>
        </w:tc>
      </w:tr>
      <w:tr>
        <w:trPr/>
        <w:tc>
          <w:tcPr>
            <w:tcW w:w="442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Amy Elazzouzi</w:t>
            </w:r>
          </w:p>
          <w:p>
            <w:pPr>
              <w:pStyle w:val="TableContents"/>
              <w:bidi w:val="0"/>
              <w:spacing w:before="0" w:after="20"/>
              <w:jc w:val="center"/>
              <w:rPr>
                <w:rFonts w:ascii="Times New Roman" w:hAnsi="Times New Roman"/>
                <w:sz w:val="20"/>
              </w:rPr>
            </w:pPr>
            <w:r>
              <w:rPr>
                <w:rFonts w:ascii="Times New Roman" w:hAnsi="Times New Roman"/>
                <w:sz w:val="20"/>
              </w:rPr>
              <w:t>Amy Elazzouzi</w:t>
            </w:r>
          </w:p>
        </w:tc>
        <w:tc>
          <w:tcPr>
            <w:tcW w:w="120"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0"/>
              <w:jc w:val="center"/>
              <w:rPr>
                <w:rFonts w:ascii="Times New Roman" w:hAnsi="Times New Roman"/>
                <w:sz w:val="20"/>
              </w:rPr>
            </w:pPr>
            <w:r>
              <w:rPr>
                <w:rFonts w:ascii="Times New Roman" w:hAnsi="Times New Roman"/>
                <w:sz w:val="20"/>
              </w:rPr>
              <w:t>Senior Vice President, Finance (Principal Accounting Officer)</w:t>
            </w:r>
          </w:p>
        </w:tc>
        <w:tc>
          <w:tcPr>
            <w:tcW w:w="201" w:type="dxa"/>
            <w:tcBorders/>
            <w:vAlign w:val="bottom"/>
          </w:tcPr>
          <w:p>
            <w:pPr>
              <w:pStyle w:val="TableContents"/>
              <w:bidi w:val="0"/>
              <w:spacing w:before="0" w:after="283"/>
              <w:jc w:val="left"/>
              <w:rPr/>
            </w:pPr>
            <w:r>
              <w:rPr/>
              <w:t> </w:t>
            </w:r>
          </w:p>
        </w:tc>
        <w:tc>
          <w:tcPr>
            <w:tcW w:w="1951" w:type="dxa"/>
            <w:tcBorders/>
          </w:tcPr>
          <w:p>
            <w:pPr>
              <w:pStyle w:val="TableContents"/>
              <w:bidi w:val="0"/>
              <w:spacing w:before="0" w:after="283"/>
              <w:jc w:val="center"/>
              <w:rPr/>
            </w:pPr>
            <w:r>
              <w:rPr/>
              <w:t>August 11, 2026</w:t>
            </w:r>
          </w:p>
        </w:tc>
      </w:tr>
      <w:tr>
        <w:trPr>
          <w:trHeight w:val="240" w:hRule="atLeast"/>
        </w:trPr>
        <w:tc>
          <w:tcPr>
            <w:tcW w:w="4422" w:type="dxa"/>
            <w:tcBorders/>
            <w:vAlign w:val="center"/>
          </w:tcPr>
          <w:p>
            <w:pPr>
              <w:pStyle w:val="TableContents"/>
              <w:bidi w:val="0"/>
              <w:spacing w:before="0" w:after="283"/>
              <w:jc w:val="left"/>
              <w:rPr>
                <w:sz w:val="4"/>
                <w:szCs w:val="4"/>
              </w:rPr>
            </w:pPr>
            <w:r>
              <w:rPr>
                <w:sz w:val="4"/>
                <w:szCs w:val="4"/>
              </w:rPr>
            </w:r>
          </w:p>
        </w:tc>
        <w:tc>
          <w:tcPr>
            <w:tcW w:w="3631" w:type="dxa"/>
            <w:gridSpan w:val="2"/>
            <w:tcBorders/>
            <w:vAlign w:val="center"/>
          </w:tcPr>
          <w:p>
            <w:pPr>
              <w:pStyle w:val="TableContents"/>
              <w:bidi w:val="0"/>
              <w:spacing w:before="0" w:after="283"/>
              <w:jc w:val="left"/>
              <w:rPr>
                <w:sz w:val="4"/>
                <w:szCs w:val="4"/>
              </w:rPr>
            </w:pPr>
            <w:r>
              <w:rPr>
                <w:sz w:val="4"/>
                <w:szCs w:val="4"/>
              </w:rPr>
            </w:r>
          </w:p>
        </w:tc>
        <w:tc>
          <w:tcPr>
            <w:tcW w:w="2152" w:type="dxa"/>
            <w:gridSpan w:val="2"/>
            <w:tcBorders/>
            <w:vAlign w:val="center"/>
          </w:tcPr>
          <w:p>
            <w:pPr>
              <w:pStyle w:val="TableContents"/>
              <w:bidi w:val="0"/>
              <w:spacing w:before="0" w:after="283"/>
              <w:jc w:val="left"/>
              <w:rPr>
                <w:sz w:val="4"/>
                <w:szCs w:val="4"/>
              </w:rPr>
            </w:pPr>
            <w:r>
              <w:rPr>
                <w:sz w:val="4"/>
                <w:szCs w:val="4"/>
              </w:rPr>
            </w:r>
          </w:p>
        </w:tc>
      </w:tr>
      <w:tr>
        <w:trPr/>
        <w:tc>
          <w:tcPr>
            <w:tcW w:w="442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David Johnson</w:t>
            </w:r>
          </w:p>
          <w:p>
            <w:pPr>
              <w:pStyle w:val="TableContents"/>
              <w:bidi w:val="0"/>
              <w:spacing w:before="0" w:after="20"/>
              <w:jc w:val="center"/>
              <w:rPr>
                <w:rFonts w:ascii="Times New Roman" w:hAnsi="Times New Roman"/>
                <w:sz w:val="20"/>
              </w:rPr>
            </w:pPr>
            <w:r>
              <w:rPr>
                <w:rFonts w:ascii="Times New Roman" w:hAnsi="Times New Roman"/>
                <w:sz w:val="20"/>
              </w:rPr>
              <w:t>David Johnson</w:t>
            </w:r>
          </w:p>
        </w:tc>
        <w:tc>
          <w:tcPr>
            <w:tcW w:w="120"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951" w:type="dxa"/>
            <w:tcBorders/>
          </w:tcPr>
          <w:p>
            <w:pPr>
              <w:pStyle w:val="TableContents"/>
              <w:bidi w:val="0"/>
              <w:spacing w:before="0" w:after="283"/>
              <w:jc w:val="center"/>
              <w:rPr/>
            </w:pPr>
            <w:r>
              <w:rPr/>
              <w:t>August 11, 2026</w:t>
            </w:r>
          </w:p>
        </w:tc>
      </w:tr>
      <w:tr>
        <w:trPr>
          <w:trHeight w:val="240" w:hRule="atLeast"/>
        </w:trPr>
        <w:tc>
          <w:tcPr>
            <w:tcW w:w="4422" w:type="dxa"/>
            <w:tcBorders/>
            <w:vAlign w:val="center"/>
          </w:tcPr>
          <w:p>
            <w:pPr>
              <w:pStyle w:val="TableContents"/>
              <w:bidi w:val="0"/>
              <w:spacing w:before="0" w:after="283"/>
              <w:jc w:val="left"/>
              <w:rPr>
                <w:sz w:val="4"/>
                <w:szCs w:val="4"/>
              </w:rPr>
            </w:pPr>
            <w:r>
              <w:rPr>
                <w:sz w:val="4"/>
                <w:szCs w:val="4"/>
              </w:rPr>
            </w:r>
          </w:p>
        </w:tc>
        <w:tc>
          <w:tcPr>
            <w:tcW w:w="3631" w:type="dxa"/>
            <w:gridSpan w:val="2"/>
            <w:tcBorders/>
            <w:vAlign w:val="center"/>
          </w:tcPr>
          <w:p>
            <w:pPr>
              <w:pStyle w:val="TableContents"/>
              <w:bidi w:val="0"/>
              <w:spacing w:before="0" w:after="283"/>
              <w:jc w:val="left"/>
              <w:rPr>
                <w:sz w:val="4"/>
                <w:szCs w:val="4"/>
              </w:rPr>
            </w:pPr>
            <w:r>
              <w:rPr>
                <w:sz w:val="4"/>
                <w:szCs w:val="4"/>
              </w:rPr>
            </w:r>
          </w:p>
        </w:tc>
        <w:tc>
          <w:tcPr>
            <w:tcW w:w="2152" w:type="dxa"/>
            <w:gridSpan w:val="2"/>
            <w:tcBorders/>
            <w:vAlign w:val="center"/>
          </w:tcPr>
          <w:p>
            <w:pPr>
              <w:pStyle w:val="TableContents"/>
              <w:bidi w:val="0"/>
              <w:spacing w:before="0" w:after="283"/>
              <w:jc w:val="left"/>
              <w:rPr>
                <w:sz w:val="4"/>
                <w:szCs w:val="4"/>
              </w:rPr>
            </w:pPr>
            <w:r>
              <w:rPr>
                <w:sz w:val="4"/>
                <w:szCs w:val="4"/>
              </w:rPr>
            </w:r>
          </w:p>
        </w:tc>
      </w:tr>
      <w:tr>
        <w:trPr/>
        <w:tc>
          <w:tcPr>
            <w:tcW w:w="442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Giovanni Mariggi</w:t>
            </w:r>
          </w:p>
          <w:p>
            <w:pPr>
              <w:pStyle w:val="TableContents"/>
              <w:bidi w:val="0"/>
              <w:spacing w:before="0" w:after="20"/>
              <w:jc w:val="center"/>
              <w:rPr>
                <w:rFonts w:ascii="Times New Roman" w:hAnsi="Times New Roman"/>
                <w:sz w:val="20"/>
              </w:rPr>
            </w:pPr>
            <w:r>
              <w:rPr>
                <w:rFonts w:ascii="Times New Roman" w:hAnsi="Times New Roman"/>
                <w:sz w:val="20"/>
              </w:rPr>
              <w:t>Giovanni Mariggi, Ph.D.</w:t>
            </w:r>
          </w:p>
        </w:tc>
        <w:tc>
          <w:tcPr>
            <w:tcW w:w="120"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951" w:type="dxa"/>
            <w:tcBorders/>
          </w:tcPr>
          <w:p>
            <w:pPr>
              <w:pStyle w:val="TableContents"/>
              <w:bidi w:val="0"/>
              <w:spacing w:before="0" w:after="283"/>
              <w:jc w:val="center"/>
              <w:rPr/>
            </w:pPr>
            <w:r>
              <w:rPr/>
              <w:t>August 11, 2026</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461"/>
        <w:gridCol w:w="120"/>
        <w:gridCol w:w="3464"/>
        <w:gridCol w:w="202"/>
        <w:gridCol w:w="1958"/>
      </w:tblGrid>
      <w:tr>
        <w:trPr/>
        <w:tc>
          <w:tcPr>
            <w:tcW w:w="44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64"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r>
      <w:tr>
        <w:trPr/>
        <w:tc>
          <w:tcPr>
            <w:tcW w:w="4461" w:type="dxa"/>
            <w:tcBorders/>
            <w:vAlign w:val="bottom"/>
          </w:tcPr>
          <w:p>
            <w:pPr>
              <w:pStyle w:val="TableContents"/>
              <w:bidi w:val="0"/>
              <w:spacing w:before="0" w:after="283"/>
              <w:jc w:val="center"/>
              <w:rPr>
                <w:b/>
              </w:rPr>
            </w:pPr>
            <w:r>
              <w:rPr>
                <w:b/>
              </w:rPr>
              <w:t>Name</w:t>
            </w:r>
          </w:p>
        </w:tc>
        <w:tc>
          <w:tcPr>
            <w:tcW w:w="120" w:type="dxa"/>
            <w:tcBorders/>
            <w:vAlign w:val="bottom"/>
          </w:tcPr>
          <w:p>
            <w:pPr>
              <w:pStyle w:val="TableContents"/>
              <w:bidi w:val="0"/>
              <w:spacing w:before="0" w:after="283"/>
              <w:jc w:val="left"/>
              <w:rPr/>
            </w:pPr>
            <w:r>
              <w:rPr/>
              <w:t>  </w:t>
            </w:r>
          </w:p>
        </w:tc>
        <w:tc>
          <w:tcPr>
            <w:tcW w:w="3464" w:type="dxa"/>
            <w:tcBorders/>
            <w:vAlign w:val="bottom"/>
          </w:tcPr>
          <w:p>
            <w:pPr>
              <w:pStyle w:val="TableContents"/>
              <w:bidi w:val="0"/>
              <w:spacing w:before="0" w:after="283"/>
              <w:jc w:val="center"/>
              <w:rPr>
                <w:b/>
              </w:rPr>
            </w:pPr>
            <w:r>
              <w:rPr>
                <w:b/>
              </w:rPr>
              <w:t>Title</w:t>
            </w:r>
          </w:p>
        </w:tc>
        <w:tc>
          <w:tcPr>
            <w:tcW w:w="202" w:type="dxa"/>
            <w:tcBorders/>
            <w:vAlign w:val="bottom"/>
          </w:tcPr>
          <w:p>
            <w:pPr>
              <w:pStyle w:val="TableContents"/>
              <w:bidi w:val="0"/>
              <w:spacing w:before="0" w:after="283"/>
              <w:jc w:val="left"/>
              <w:rPr/>
            </w:pPr>
            <w:r>
              <w:rPr/>
              <w:t> </w:t>
            </w:r>
          </w:p>
        </w:tc>
        <w:tc>
          <w:tcPr>
            <w:tcW w:w="1958" w:type="dxa"/>
            <w:tcBorders/>
            <w:vAlign w:val="bottom"/>
          </w:tcPr>
          <w:p>
            <w:pPr>
              <w:pStyle w:val="TableContents"/>
              <w:bidi w:val="0"/>
              <w:spacing w:before="0" w:after="283"/>
              <w:jc w:val="center"/>
              <w:rPr>
                <w:b/>
              </w:rPr>
            </w:pPr>
            <w:r>
              <w:rPr>
                <w:b/>
              </w:rPr>
              <w:t>Date</w:t>
            </w:r>
          </w:p>
        </w:tc>
      </w:tr>
      <w:tr>
        <w:trPr>
          <w:trHeight w:val="240" w:hRule="atLeast"/>
        </w:trPr>
        <w:tc>
          <w:tcPr>
            <w:tcW w:w="4461" w:type="dxa"/>
            <w:tcBorders/>
            <w:vAlign w:val="center"/>
          </w:tcPr>
          <w:p>
            <w:pPr>
              <w:pStyle w:val="TableContents"/>
              <w:bidi w:val="0"/>
              <w:spacing w:before="0" w:after="283"/>
              <w:jc w:val="left"/>
              <w:rPr>
                <w:sz w:val="4"/>
                <w:szCs w:val="4"/>
              </w:rPr>
            </w:pPr>
            <w:r>
              <w:rPr>
                <w:sz w:val="4"/>
                <w:szCs w:val="4"/>
              </w:rPr>
            </w:r>
          </w:p>
        </w:tc>
        <w:tc>
          <w:tcPr>
            <w:tcW w:w="3584" w:type="dxa"/>
            <w:gridSpan w:val="2"/>
            <w:tcBorders/>
            <w:vAlign w:val="center"/>
          </w:tcPr>
          <w:p>
            <w:pPr>
              <w:pStyle w:val="TableContents"/>
              <w:bidi w:val="0"/>
              <w:spacing w:before="0" w:after="283"/>
              <w:jc w:val="left"/>
              <w:rPr>
                <w:sz w:val="4"/>
                <w:szCs w:val="4"/>
              </w:rPr>
            </w:pPr>
            <w:r>
              <w:rPr>
                <w:sz w:val="4"/>
                <w:szCs w:val="4"/>
              </w:rPr>
            </w:r>
          </w:p>
        </w:tc>
        <w:tc>
          <w:tcPr>
            <w:tcW w:w="2160" w:type="dxa"/>
            <w:gridSpan w:val="2"/>
            <w:tcBorders/>
            <w:vAlign w:val="center"/>
          </w:tcPr>
          <w:p>
            <w:pPr>
              <w:pStyle w:val="TableContents"/>
              <w:bidi w:val="0"/>
              <w:spacing w:before="0" w:after="283"/>
              <w:jc w:val="left"/>
              <w:rPr>
                <w:sz w:val="4"/>
                <w:szCs w:val="4"/>
              </w:rPr>
            </w:pPr>
            <w:r>
              <w:rPr>
                <w:sz w:val="4"/>
                <w:szCs w:val="4"/>
              </w:rPr>
            </w:r>
          </w:p>
        </w:tc>
      </w:tr>
      <w:tr>
        <w:trPr/>
        <w:tc>
          <w:tcPr>
            <w:tcW w:w="446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Antony Mattessich</w:t>
            </w:r>
          </w:p>
          <w:p>
            <w:pPr>
              <w:pStyle w:val="TableContents"/>
              <w:bidi w:val="0"/>
              <w:spacing w:before="0" w:after="20"/>
              <w:jc w:val="center"/>
              <w:rPr>
                <w:rFonts w:ascii="Times New Roman" w:hAnsi="Times New Roman"/>
                <w:sz w:val="20"/>
              </w:rPr>
            </w:pPr>
            <w:r>
              <w:rPr>
                <w:rFonts w:ascii="Times New Roman" w:hAnsi="Times New Roman"/>
                <w:sz w:val="20"/>
              </w:rPr>
              <w:t>Antony Mattessich</w:t>
            </w:r>
          </w:p>
        </w:tc>
        <w:tc>
          <w:tcPr>
            <w:tcW w:w="120" w:type="dxa"/>
            <w:tcBorders/>
            <w:vAlign w:val="bottom"/>
          </w:tcPr>
          <w:p>
            <w:pPr>
              <w:pStyle w:val="TableContents"/>
              <w:bidi w:val="0"/>
              <w:spacing w:before="0" w:after="283"/>
              <w:jc w:val="left"/>
              <w:rPr/>
            </w:pPr>
            <w:r>
              <w:rPr/>
              <w:t>  </w:t>
            </w:r>
          </w:p>
        </w:tc>
        <w:tc>
          <w:tcPr>
            <w:tcW w:w="3464"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958" w:type="dxa"/>
            <w:tcBorders/>
          </w:tcPr>
          <w:p>
            <w:pPr>
              <w:pStyle w:val="TableContents"/>
              <w:bidi w:val="0"/>
              <w:spacing w:before="0" w:after="283"/>
              <w:jc w:val="center"/>
              <w:rPr/>
            </w:pPr>
            <w:r>
              <w:rPr/>
              <w:t>August 11, 2026</w:t>
            </w:r>
          </w:p>
        </w:tc>
      </w:tr>
      <w:tr>
        <w:trPr>
          <w:trHeight w:val="240" w:hRule="atLeast"/>
        </w:trPr>
        <w:tc>
          <w:tcPr>
            <w:tcW w:w="4461" w:type="dxa"/>
            <w:tcBorders/>
            <w:vAlign w:val="center"/>
          </w:tcPr>
          <w:p>
            <w:pPr>
              <w:pStyle w:val="TableContents"/>
              <w:bidi w:val="0"/>
              <w:spacing w:before="0" w:after="283"/>
              <w:jc w:val="left"/>
              <w:rPr>
                <w:sz w:val="4"/>
                <w:szCs w:val="4"/>
              </w:rPr>
            </w:pPr>
            <w:r>
              <w:rPr>
                <w:sz w:val="4"/>
                <w:szCs w:val="4"/>
              </w:rPr>
            </w:r>
          </w:p>
        </w:tc>
        <w:tc>
          <w:tcPr>
            <w:tcW w:w="3584" w:type="dxa"/>
            <w:gridSpan w:val="2"/>
            <w:tcBorders/>
            <w:vAlign w:val="center"/>
          </w:tcPr>
          <w:p>
            <w:pPr>
              <w:pStyle w:val="TableContents"/>
              <w:bidi w:val="0"/>
              <w:spacing w:before="0" w:after="283"/>
              <w:jc w:val="left"/>
              <w:rPr>
                <w:sz w:val="4"/>
                <w:szCs w:val="4"/>
              </w:rPr>
            </w:pPr>
            <w:r>
              <w:rPr>
                <w:sz w:val="4"/>
                <w:szCs w:val="4"/>
              </w:rPr>
            </w:r>
          </w:p>
        </w:tc>
        <w:tc>
          <w:tcPr>
            <w:tcW w:w="2160" w:type="dxa"/>
            <w:gridSpan w:val="2"/>
            <w:tcBorders/>
            <w:vAlign w:val="center"/>
          </w:tcPr>
          <w:p>
            <w:pPr>
              <w:pStyle w:val="TableContents"/>
              <w:bidi w:val="0"/>
              <w:spacing w:before="0" w:after="283"/>
              <w:jc w:val="left"/>
              <w:rPr>
                <w:sz w:val="4"/>
                <w:szCs w:val="4"/>
              </w:rPr>
            </w:pPr>
            <w:r>
              <w:rPr>
                <w:sz w:val="4"/>
                <w:szCs w:val="4"/>
              </w:rPr>
            </w:r>
          </w:p>
        </w:tc>
      </w:tr>
      <w:tr>
        <w:trPr/>
        <w:tc>
          <w:tcPr>
            <w:tcW w:w="446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Jeremy Bender</w:t>
            </w:r>
          </w:p>
          <w:p>
            <w:pPr>
              <w:pStyle w:val="TableContents"/>
              <w:bidi w:val="0"/>
              <w:spacing w:before="0" w:after="20"/>
              <w:jc w:val="center"/>
              <w:rPr>
                <w:rFonts w:ascii="Times New Roman" w:hAnsi="Times New Roman"/>
                <w:sz w:val="20"/>
              </w:rPr>
            </w:pPr>
            <w:r>
              <w:rPr>
                <w:rFonts w:ascii="Times New Roman" w:hAnsi="Times New Roman"/>
                <w:sz w:val="20"/>
              </w:rPr>
              <w:t>Jeremy Bender, Ph.D., M.B.A.</w:t>
            </w:r>
          </w:p>
        </w:tc>
        <w:tc>
          <w:tcPr>
            <w:tcW w:w="120" w:type="dxa"/>
            <w:tcBorders/>
            <w:vAlign w:val="bottom"/>
          </w:tcPr>
          <w:p>
            <w:pPr>
              <w:pStyle w:val="TableContents"/>
              <w:bidi w:val="0"/>
              <w:spacing w:before="0" w:after="283"/>
              <w:jc w:val="left"/>
              <w:rPr/>
            </w:pPr>
            <w:r>
              <w:rPr/>
              <w:t>  </w:t>
            </w:r>
          </w:p>
        </w:tc>
        <w:tc>
          <w:tcPr>
            <w:tcW w:w="3464"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958" w:type="dxa"/>
            <w:tcBorders/>
          </w:tcPr>
          <w:p>
            <w:pPr>
              <w:pStyle w:val="TableContents"/>
              <w:bidi w:val="0"/>
              <w:spacing w:before="0" w:after="283"/>
              <w:jc w:val="center"/>
              <w:rPr/>
            </w:pPr>
            <w:r>
              <w:rPr/>
              <w:t>August 11, 2026</w:t>
            </w:r>
          </w:p>
        </w:tc>
      </w:tr>
      <w:tr>
        <w:trPr>
          <w:trHeight w:val="240" w:hRule="atLeast"/>
        </w:trPr>
        <w:tc>
          <w:tcPr>
            <w:tcW w:w="4461" w:type="dxa"/>
            <w:tcBorders/>
            <w:vAlign w:val="center"/>
          </w:tcPr>
          <w:p>
            <w:pPr>
              <w:pStyle w:val="TableContents"/>
              <w:bidi w:val="0"/>
              <w:spacing w:before="0" w:after="283"/>
              <w:jc w:val="left"/>
              <w:rPr>
                <w:sz w:val="4"/>
                <w:szCs w:val="4"/>
              </w:rPr>
            </w:pPr>
            <w:r>
              <w:rPr>
                <w:sz w:val="4"/>
                <w:szCs w:val="4"/>
              </w:rPr>
            </w:r>
          </w:p>
        </w:tc>
        <w:tc>
          <w:tcPr>
            <w:tcW w:w="3584" w:type="dxa"/>
            <w:gridSpan w:val="2"/>
            <w:tcBorders/>
            <w:vAlign w:val="center"/>
          </w:tcPr>
          <w:p>
            <w:pPr>
              <w:pStyle w:val="TableContents"/>
              <w:bidi w:val="0"/>
              <w:spacing w:before="0" w:after="283"/>
              <w:jc w:val="left"/>
              <w:rPr>
                <w:sz w:val="4"/>
                <w:szCs w:val="4"/>
              </w:rPr>
            </w:pPr>
            <w:r>
              <w:rPr>
                <w:sz w:val="4"/>
                <w:szCs w:val="4"/>
              </w:rPr>
            </w:r>
          </w:p>
        </w:tc>
        <w:tc>
          <w:tcPr>
            <w:tcW w:w="2160" w:type="dxa"/>
            <w:gridSpan w:val="2"/>
            <w:tcBorders/>
            <w:vAlign w:val="center"/>
          </w:tcPr>
          <w:p>
            <w:pPr>
              <w:pStyle w:val="TableContents"/>
              <w:bidi w:val="0"/>
              <w:spacing w:before="0" w:after="283"/>
              <w:jc w:val="left"/>
              <w:rPr>
                <w:sz w:val="4"/>
                <w:szCs w:val="4"/>
              </w:rPr>
            </w:pPr>
            <w:r>
              <w:rPr>
                <w:sz w:val="4"/>
                <w:szCs w:val="4"/>
              </w:rPr>
            </w:r>
          </w:p>
        </w:tc>
      </w:tr>
      <w:tr>
        <w:trPr/>
        <w:tc>
          <w:tcPr>
            <w:tcW w:w="446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Sapna Srivastava</w:t>
            </w:r>
          </w:p>
          <w:p>
            <w:pPr>
              <w:pStyle w:val="TableContents"/>
              <w:bidi w:val="0"/>
              <w:spacing w:before="0" w:after="20"/>
              <w:jc w:val="center"/>
              <w:rPr>
                <w:rFonts w:ascii="Times New Roman" w:hAnsi="Times New Roman"/>
                <w:sz w:val="20"/>
              </w:rPr>
            </w:pPr>
            <w:r>
              <w:rPr>
                <w:rFonts w:ascii="Times New Roman" w:hAnsi="Times New Roman"/>
                <w:sz w:val="20"/>
              </w:rPr>
              <w:t>Sapna Srivastava, Ph.D.</w:t>
            </w:r>
          </w:p>
        </w:tc>
        <w:tc>
          <w:tcPr>
            <w:tcW w:w="120" w:type="dxa"/>
            <w:tcBorders/>
            <w:vAlign w:val="bottom"/>
          </w:tcPr>
          <w:p>
            <w:pPr>
              <w:pStyle w:val="TableContents"/>
              <w:bidi w:val="0"/>
              <w:spacing w:before="0" w:after="283"/>
              <w:jc w:val="left"/>
              <w:rPr/>
            </w:pPr>
            <w:r>
              <w:rPr/>
              <w:t>  </w:t>
            </w:r>
          </w:p>
        </w:tc>
        <w:tc>
          <w:tcPr>
            <w:tcW w:w="3464"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958" w:type="dxa"/>
            <w:tcBorders/>
          </w:tcPr>
          <w:p>
            <w:pPr>
              <w:pStyle w:val="TableContents"/>
              <w:bidi w:val="0"/>
              <w:spacing w:before="0" w:after="283"/>
              <w:jc w:val="center"/>
              <w:rPr/>
            </w:pPr>
            <w:r>
              <w:rPr/>
              <w:t>August 11, 2026</w:t>
            </w:r>
          </w:p>
        </w:tc>
      </w:tr>
      <w:tr>
        <w:trPr>
          <w:trHeight w:val="240" w:hRule="atLeast"/>
        </w:trPr>
        <w:tc>
          <w:tcPr>
            <w:tcW w:w="4461" w:type="dxa"/>
            <w:tcBorders/>
            <w:vAlign w:val="center"/>
          </w:tcPr>
          <w:p>
            <w:pPr>
              <w:pStyle w:val="TableContents"/>
              <w:bidi w:val="0"/>
              <w:spacing w:before="0" w:after="283"/>
              <w:jc w:val="left"/>
              <w:rPr>
                <w:sz w:val="4"/>
                <w:szCs w:val="4"/>
              </w:rPr>
            </w:pPr>
            <w:r>
              <w:rPr>
                <w:sz w:val="4"/>
                <w:szCs w:val="4"/>
              </w:rPr>
            </w:r>
          </w:p>
        </w:tc>
        <w:tc>
          <w:tcPr>
            <w:tcW w:w="3584" w:type="dxa"/>
            <w:gridSpan w:val="2"/>
            <w:tcBorders/>
            <w:vAlign w:val="center"/>
          </w:tcPr>
          <w:p>
            <w:pPr>
              <w:pStyle w:val="TableContents"/>
              <w:bidi w:val="0"/>
              <w:spacing w:before="0" w:after="283"/>
              <w:jc w:val="left"/>
              <w:rPr>
                <w:sz w:val="4"/>
                <w:szCs w:val="4"/>
              </w:rPr>
            </w:pPr>
            <w:r>
              <w:rPr>
                <w:sz w:val="4"/>
                <w:szCs w:val="4"/>
              </w:rPr>
            </w:r>
          </w:p>
        </w:tc>
        <w:tc>
          <w:tcPr>
            <w:tcW w:w="2160" w:type="dxa"/>
            <w:gridSpan w:val="2"/>
            <w:tcBorders/>
            <w:vAlign w:val="center"/>
          </w:tcPr>
          <w:p>
            <w:pPr>
              <w:pStyle w:val="TableContents"/>
              <w:bidi w:val="0"/>
              <w:spacing w:before="0" w:after="283"/>
              <w:jc w:val="left"/>
              <w:rPr>
                <w:sz w:val="4"/>
                <w:szCs w:val="4"/>
              </w:rPr>
            </w:pPr>
            <w:r>
              <w:rPr>
                <w:sz w:val="4"/>
                <w:szCs w:val="4"/>
              </w:rPr>
            </w:r>
          </w:p>
        </w:tc>
      </w:tr>
      <w:tr>
        <w:trPr/>
        <w:tc>
          <w:tcPr>
            <w:tcW w:w="446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Teresa Bitetti</w:t>
            </w:r>
          </w:p>
          <w:p>
            <w:pPr>
              <w:pStyle w:val="TableContents"/>
              <w:bidi w:val="0"/>
              <w:spacing w:before="0" w:after="20"/>
              <w:jc w:val="center"/>
              <w:rPr>
                <w:rFonts w:ascii="Times New Roman" w:hAnsi="Times New Roman"/>
                <w:sz w:val="20"/>
              </w:rPr>
            </w:pPr>
            <w:r>
              <w:rPr>
                <w:rFonts w:ascii="Times New Roman" w:hAnsi="Times New Roman"/>
                <w:sz w:val="20"/>
              </w:rPr>
              <w:t>Teresa Bitetti</w:t>
            </w:r>
          </w:p>
        </w:tc>
        <w:tc>
          <w:tcPr>
            <w:tcW w:w="120" w:type="dxa"/>
            <w:tcBorders/>
            <w:vAlign w:val="bottom"/>
          </w:tcPr>
          <w:p>
            <w:pPr>
              <w:pStyle w:val="TableContents"/>
              <w:bidi w:val="0"/>
              <w:spacing w:before="0" w:after="283"/>
              <w:jc w:val="left"/>
              <w:rPr/>
            </w:pPr>
            <w:r>
              <w:rPr/>
              <w:t>  </w:t>
            </w:r>
          </w:p>
        </w:tc>
        <w:tc>
          <w:tcPr>
            <w:tcW w:w="3464"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958" w:type="dxa"/>
            <w:tcBorders/>
          </w:tcPr>
          <w:p>
            <w:pPr>
              <w:pStyle w:val="TableContents"/>
              <w:bidi w:val="0"/>
              <w:spacing w:before="0" w:after="283"/>
              <w:jc w:val="center"/>
              <w:rPr/>
            </w:pPr>
            <w:r>
              <w:rPr/>
              <w:t>August 11, 2026</w:t>
            </w:r>
          </w:p>
        </w:tc>
      </w:tr>
    </w:tbl>
    <w:p>
      <w:pPr>
        <w:pStyle w:val="TextBody"/>
        <w:bidi w:val="0"/>
        <w:spacing w:before="0" w:after="0"/>
        <w:jc w:val="right"/>
        <w:rPr>
          <w:rFonts w:ascii="Times New Roman" w:hAnsi="Times New Roman"/>
          <w:b/>
          <w:sz w:val="20"/>
        </w:rPr>
      </w:pPr>
      <w:bookmarkStart w:id="31" w:name="d140546dex12.htm"/>
      <w:bookmarkStart w:id="32" w:name="ksd140546dex12"/>
      <w:bookmarkEnd w:id="31"/>
      <w:bookmarkEnd w:id="32"/>
      <w:r>
        <w:rPr>
          <w:rFonts w:ascii="Times New Roman" w:hAnsi="Times New Roman"/>
          <w:b/>
          <w:sz w:val="20"/>
        </w:rPr>
        <w:t xml:space="preserve">Exhibit 1.2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OPEN MARKET SALE AGREEMENTSM </w:t>
      </w:r>
    </w:p>
    <w:p>
      <w:pPr>
        <w:pStyle w:val="TextBody"/>
        <w:bidi w:val="0"/>
        <w:spacing w:before="240" w:after="0"/>
        <w:jc w:val="right"/>
        <w:rPr>
          <w:rFonts w:ascii="Times New Roman" w:hAnsi="Times New Roman"/>
          <w:sz w:val="20"/>
        </w:rPr>
      </w:pPr>
      <w:r>
        <w:rPr>
          <w:rFonts w:ascii="Times New Roman" w:hAnsi="Times New Roman"/>
          <w:sz w:val="20"/>
        </w:rPr>
        <w:t xml:space="preserve">August 11,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Aura Biosciences, Inc., a Delaware corporation (the “</w:t>
      </w:r>
      <w:r>
        <w:rPr>
          <w:rFonts w:ascii="Times New Roman" w:hAnsi="Times New Roman"/>
          <w:b/>
          <w:sz w:val="20"/>
        </w:rPr>
        <w:t>Company</w:t>
      </w:r>
      <w:r>
        <w:rPr>
          <w:rFonts w:ascii="Times New Roman" w:hAnsi="Times New Roman"/>
          <w:sz w:val="20"/>
        </w:rPr>
        <w:t>”), proposes, subject to the terms and conditions stated herein, to issue and sell from time to time through Jefferies LLC, as sales agent and/or principal (the “</w:t>
      </w:r>
      <w:r>
        <w:rPr>
          <w:rFonts w:ascii="Times New Roman" w:hAnsi="Times New Roman"/>
          <w:b/>
          <w:sz w:val="20"/>
        </w:rPr>
        <w:t>Agent</w:t>
      </w:r>
      <w:r>
        <w:rPr>
          <w:rFonts w:ascii="Times New Roman" w:hAnsi="Times New Roman"/>
          <w:sz w:val="20"/>
        </w:rPr>
        <w:t>”), shares of the Company’s common stock, par value $0.00001 per share (the “</w:t>
      </w:r>
      <w:r>
        <w:rPr>
          <w:rFonts w:ascii="Times New Roman" w:hAnsi="Times New Roman"/>
          <w:b/>
          <w:sz w:val="20"/>
        </w:rPr>
        <w:t>Common Shares</w:t>
      </w:r>
      <w:r>
        <w:rPr>
          <w:rFonts w:ascii="Times New Roman" w:hAnsi="Times New Roman"/>
          <w:sz w:val="20"/>
        </w:rPr>
        <w:t>”), on the terms set forth in this agreement (this “</w:t>
      </w:r>
      <w:r>
        <w:rPr>
          <w:rFonts w:ascii="Times New Roman" w:hAnsi="Times New Roman"/>
          <w:b/>
          <w:sz w:val="20"/>
        </w:rPr>
        <w:t>Agreement</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 DEFINITIONS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Definitions</w:t>
      </w:r>
      <w:r>
        <w:rPr>
          <w:rFonts w:ascii="Times New Roman" w:hAnsi="Times New Roman"/>
          <w:sz w:val="20"/>
        </w:rPr>
        <w:t xml:space="preserve">. For purposes of this Agreement, capitalized terms used herein and not otherwise defined shall have the following respective meanings: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of a Person means another Person that directly or indirectly, through one or more intermediaries, controls, is controlled by, or is under common control with, such first-mentioned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 </w:t>
      </w:r>
    </w:p>
    <w:p>
      <w:pPr>
        <w:pStyle w:val="TextBody"/>
        <w:bidi w:val="0"/>
        <w:spacing w:before="240" w:after="0"/>
        <w:jc w:val="left"/>
        <w:rPr/>
      </w:pPr>
      <w:r>
        <w:rPr/>
        <w:t>“</w:t>
      </w:r>
      <w:r>
        <w:rPr>
          <w:rFonts w:ascii="Times New Roman" w:hAnsi="Times New Roman"/>
          <w:b/>
          <w:sz w:val="20"/>
        </w:rPr>
        <w:t>Agency Period</w:t>
      </w:r>
      <w:r>
        <w:rPr>
          <w:rFonts w:ascii="Times New Roman" w:hAnsi="Times New Roman"/>
          <w:sz w:val="20"/>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of the Commission thereunder. </w:t>
      </w:r>
    </w:p>
    <w:p>
      <w:pPr>
        <w:pStyle w:val="TextBody"/>
        <w:bidi w:val="0"/>
        <w:spacing w:before="240" w:after="0"/>
        <w:jc w:val="left"/>
        <w:rPr/>
      </w:pPr>
      <w:r>
        <w:rPr/>
        <w:t>“</w:t>
      </w:r>
      <w:r>
        <w:rPr>
          <w:rFonts w:ascii="Times New Roman" w:hAnsi="Times New Roman"/>
          <w:b/>
          <w:sz w:val="20"/>
        </w:rPr>
        <w:t>Floor Price</w:t>
      </w:r>
      <w:r>
        <w:rPr>
          <w:rFonts w:ascii="Times New Roman" w:hAnsi="Times New Roman"/>
          <w:sz w:val="20"/>
        </w:rPr>
        <w:t xml:space="preserve">”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34"/>
        <w:gridCol w:w="9771"/>
      </w:tblGrid>
      <w:tr>
        <w:trPr/>
        <w:tc>
          <w:tcPr>
            <w:tcW w:w="434" w:type="dxa"/>
            <w:tcBorders/>
          </w:tcPr>
          <w:p>
            <w:pPr>
              <w:pStyle w:val="TableContents"/>
              <w:bidi w:val="0"/>
              <w:spacing w:before="0" w:after="283"/>
              <w:jc w:val="left"/>
              <w:rPr/>
            </w:pPr>
            <w:r>
              <w:rPr/>
              <w:t>SM </w:t>
            </w:r>
          </w:p>
        </w:tc>
        <w:tc>
          <w:tcPr>
            <w:tcW w:w="9771" w:type="dxa"/>
            <w:tcBorders/>
          </w:tcPr>
          <w:p>
            <w:pPr>
              <w:pStyle w:val="TableContents"/>
              <w:bidi w:val="0"/>
              <w:spacing w:before="0" w:after="0"/>
              <w:jc w:val="left"/>
              <w:rPr/>
            </w:pPr>
            <w:r>
              <w:rPr/>
              <w:t>“</w:t>
            </w:r>
            <w:r>
              <w:rPr>
                <w:rFonts w:ascii="Times New Roman" w:hAnsi="Times New Roman"/>
                <w:sz w:val="20"/>
              </w:rPr>
              <w:t xml:space="preserve">Open Market Sale Agreement” is a service mark of Jefferies LLC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rPr>
        <w:t>Issuance Amount</w:t>
      </w:r>
      <w:r>
        <w:rPr>
          <w:rFonts w:ascii="Times New Roman" w:hAnsi="Times New Roman"/>
          <w:sz w:val="20"/>
        </w:rPr>
        <w:t xml:space="preserve">” means the aggregate Sales Price of the Shares to be sold by the Agent pursuant to any Issuance Notice. </w:t>
      </w:r>
    </w:p>
    <w:p>
      <w:pPr>
        <w:pStyle w:val="TextBody"/>
        <w:bidi w:val="0"/>
        <w:spacing w:before="240" w:after="0"/>
        <w:jc w:val="left"/>
        <w:rPr/>
      </w:pPr>
      <w:r>
        <w:rPr/>
        <w:t>“</w:t>
      </w:r>
      <w:r>
        <w:rPr>
          <w:rFonts w:ascii="Times New Roman" w:hAnsi="Times New Roman"/>
          <w:b/>
          <w:sz w:val="20"/>
        </w:rPr>
        <w:t>Issuance Notice</w:t>
      </w:r>
      <w:r>
        <w:rPr>
          <w:rFonts w:ascii="Times New Roman" w:hAnsi="Times New Roman"/>
          <w:sz w:val="20"/>
        </w:rPr>
        <w:t xml:space="preserve">” means a written notice delivered to the Agent by the Company in accordance with this Agreement in the form attached hereto as Exhibit A that is executed by its Chief Executive Officer, President or Chief Financial Officer. </w:t>
      </w:r>
    </w:p>
    <w:p>
      <w:pPr>
        <w:pStyle w:val="TextBody"/>
        <w:bidi w:val="0"/>
        <w:spacing w:before="240" w:after="0"/>
        <w:jc w:val="left"/>
        <w:rPr/>
      </w:pPr>
      <w:r>
        <w:rPr/>
        <w:t>“</w:t>
      </w:r>
      <w:r>
        <w:rPr>
          <w:rFonts w:ascii="Times New Roman" w:hAnsi="Times New Roman"/>
          <w:b/>
          <w:sz w:val="20"/>
        </w:rPr>
        <w:t>Issuance Notice Date</w:t>
      </w:r>
      <w:r>
        <w:rPr>
          <w:rFonts w:ascii="Times New Roman" w:hAnsi="Times New Roman"/>
          <w:sz w:val="20"/>
        </w:rPr>
        <w:t xml:space="preserve">” means any Trading Day during the Agency Period that an Issuance Notice is delivered pursuant to </w:t>
      </w:r>
      <w:r>
        <w:rPr>
          <w:rFonts w:ascii="Times New Roman" w:hAnsi="Times New Roman"/>
          <w:sz w:val="20"/>
          <w:u w:val="single"/>
        </w:rPr>
        <w:t>Section 3(b)(i)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Issuance Price</w:t>
      </w:r>
      <w:r>
        <w:rPr>
          <w:rFonts w:ascii="Times New Roman" w:hAnsi="Times New Roman"/>
          <w:sz w:val="20"/>
        </w:rPr>
        <w:t xml:space="preserve">” means the Sales Price less the Selling Commission. </w:t>
      </w:r>
    </w:p>
    <w:p>
      <w:pPr>
        <w:pStyle w:val="TextBody"/>
        <w:bidi w:val="0"/>
        <w:spacing w:before="240" w:after="0"/>
        <w:jc w:val="left"/>
        <w:rPr/>
      </w:pPr>
      <w:r>
        <w:rPr/>
        <w:t>“</w:t>
      </w:r>
      <w:r>
        <w:rPr>
          <w:rFonts w:ascii="Times New Roman" w:hAnsi="Times New Roman"/>
          <w:b/>
          <w:sz w:val="20"/>
        </w:rPr>
        <w:t>Maximum Program Amount</w:t>
      </w:r>
      <w:r>
        <w:rPr>
          <w:rFonts w:ascii="Times New Roman" w:hAnsi="Times New Roman"/>
          <w:sz w:val="20"/>
        </w:rPr>
        <w:t xml:space="preserve">”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or a corporation, partnership, limited liability company, trust, incorporated or unincorporated association, joint venture, joint stock company, governmental authority or other entity of any kind. </w:t>
      </w:r>
    </w:p>
    <w:p>
      <w:pPr>
        <w:pStyle w:val="TextBody"/>
        <w:bidi w:val="0"/>
        <w:spacing w:before="240" w:after="0"/>
        <w:jc w:val="left"/>
        <w:rPr/>
      </w:pPr>
      <w:r>
        <w:rPr/>
        <w:t>“</w:t>
      </w:r>
      <w:r>
        <w:rPr>
          <w:rFonts w:ascii="Times New Roman" w:hAnsi="Times New Roman"/>
          <w:b/>
          <w:sz w:val="20"/>
        </w:rPr>
        <w:t>Principal Market</w:t>
      </w:r>
      <w:r>
        <w:rPr>
          <w:rFonts w:ascii="Times New Roman" w:hAnsi="Times New Roman"/>
          <w:sz w:val="20"/>
        </w:rPr>
        <w:t xml:space="preserve">” means the Nasdaq Global Market or such other national securities exchange on which the Common Shares, including any Shares, are then listed. </w:t>
      </w:r>
    </w:p>
    <w:p>
      <w:pPr>
        <w:pStyle w:val="TextBody"/>
        <w:bidi w:val="0"/>
        <w:spacing w:before="240" w:after="0"/>
        <w:jc w:val="left"/>
        <w:rPr/>
      </w:pPr>
      <w:r>
        <w:rPr/>
        <w:t>“</w:t>
      </w:r>
      <w:r>
        <w:rPr>
          <w:rFonts w:ascii="Times New Roman" w:hAnsi="Times New Roman"/>
          <w:b/>
          <w:sz w:val="20"/>
        </w:rPr>
        <w:t>Sales Price</w:t>
      </w:r>
      <w:r>
        <w:rPr>
          <w:rFonts w:ascii="Times New Roman" w:hAnsi="Times New Roman"/>
          <w:sz w:val="20"/>
        </w:rPr>
        <w:t xml:space="preserve">” means the actual sale execution price of each Share placed by the Agent pursuant to this Agreement.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of the Commission thereunder. </w:t>
      </w:r>
    </w:p>
    <w:p>
      <w:pPr>
        <w:pStyle w:val="TextBody"/>
        <w:bidi w:val="0"/>
        <w:spacing w:before="240" w:after="0"/>
        <w:jc w:val="left"/>
        <w:rPr/>
      </w:pPr>
      <w:r>
        <w:rPr/>
        <w:t>“</w:t>
      </w:r>
      <w:r>
        <w:rPr>
          <w:rFonts w:ascii="Times New Roman" w:hAnsi="Times New Roman"/>
          <w:b/>
          <w:sz w:val="20"/>
        </w:rPr>
        <w:t>Selling Commission</w:t>
      </w:r>
      <w:r>
        <w:rPr>
          <w:rFonts w:ascii="Times New Roman" w:hAnsi="Times New Roman"/>
          <w:sz w:val="20"/>
        </w:rPr>
        <w:t xml:space="preserve">” means three percent (3.0%) of the gross proceeds of Shares sold pursuant to this Agreement, or as otherwise agreed between the Company and the Agent with respect to any Shares sold pursuant to this Agreement. </w:t>
      </w:r>
    </w:p>
    <w:p>
      <w:pPr>
        <w:pStyle w:val="TextBody"/>
        <w:bidi w:val="0"/>
        <w:spacing w:before="240" w:after="0"/>
        <w:jc w:val="left"/>
        <w:rPr/>
      </w:pPr>
      <w:r>
        <w:rPr/>
        <w:t>“</w:t>
      </w:r>
      <w:r>
        <w:rPr>
          <w:rFonts w:ascii="Times New Roman" w:hAnsi="Times New Roman"/>
          <w:b/>
          <w:sz w:val="20"/>
        </w:rPr>
        <w:t>Settlement Date</w:t>
      </w:r>
      <w:r>
        <w:rPr>
          <w:rFonts w:ascii="Times New Roman" w:hAnsi="Times New Roman"/>
          <w:sz w:val="20"/>
        </w:rPr>
        <w:t xml:space="preserve">” means the first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Shares</w:t>
      </w:r>
      <w:r>
        <w:rPr>
          <w:rFonts w:ascii="Times New Roman" w:hAnsi="Times New Roman"/>
          <w:sz w:val="20"/>
        </w:rPr>
        <w:t xml:space="preserve">” shall mean the Company’s Common Shares issued or issuable pursuant to this Agreement.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day on which the Principal Market is open for trading.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 REPRESENTATIONS AND WARRANTIES OF THE COMPANY </w:t>
      </w:r>
    </w:p>
    <w:p>
      <w:pPr>
        <w:pStyle w:val="TextBody"/>
        <w:bidi w:val="0"/>
        <w:spacing w:before="120" w:after="0"/>
        <w:jc w:val="left"/>
        <w:rPr>
          <w:rFonts w:ascii="Times New Roman" w:hAnsi="Times New Roman"/>
          <w:sz w:val="20"/>
        </w:rPr>
      </w:pPr>
      <w:r>
        <w:rPr>
          <w:rFonts w:ascii="Times New Roman" w:hAnsi="Times New Roman"/>
          <w:sz w:val="20"/>
        </w:rPr>
        <w:t>The Company represents and warrants to, and agrees with, the Agent that as of (1) the date of this Agreement, (2) each Issuance Notice Date, (3) each Settlement Date, (4) each Triggering Event Date and (5) as of each Time of Sale (each of the times referenced above is referred to herein as a “</w:t>
      </w:r>
      <w:r>
        <w:rPr>
          <w:rFonts w:ascii="Times New Roman" w:hAnsi="Times New Roman"/>
          <w:b/>
          <w:sz w:val="20"/>
        </w:rPr>
        <w:t>Representation Date</w:t>
      </w:r>
      <w:r>
        <w:rPr>
          <w:rFonts w:ascii="Times New Roman" w:hAnsi="Times New Roman"/>
          <w:sz w:val="20"/>
        </w:rPr>
        <w:t xml:space="preserve">”), except as may be disclosed in the Prospectus (including any documents incorporated by reference therein and any supplements thereto) on or before a Representation Date: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w:t>
      </w:r>
      <w:r>
        <w:rPr>
          <w:rFonts w:ascii="Times New Roman" w:hAnsi="Times New Roman"/>
          <w:sz w:val="20"/>
        </w:rPr>
        <w:t>. The Company has prepared and filed or will file with the Commission a shelf registration statement on Form S-3 that contains a base prospectus (the “</w:t>
      </w:r>
      <w:r>
        <w:rPr>
          <w:rFonts w:ascii="Times New Roman" w:hAnsi="Times New Roman"/>
          <w:b/>
          <w:sz w:val="20"/>
        </w:rPr>
        <w:t>Base Prospectus</w:t>
      </w:r>
      <w:r>
        <w:rPr>
          <w:rFonts w:ascii="Times New Roman" w:hAnsi="Times New Roman"/>
          <w:sz w:val="20"/>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hAnsi="Times New Roman"/>
          <w:b/>
          <w:sz w:val="20"/>
        </w:rPr>
        <w:t>Registration Statement,</w:t>
      </w:r>
      <w:r>
        <w:rPr>
          <w:rFonts w:ascii="Times New Roman" w:hAnsi="Times New Roman"/>
          <w:sz w:val="20"/>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hAnsi="Times New Roman"/>
          <w:b/>
          <w:sz w:val="20"/>
        </w:rPr>
        <w:t>Prospectus,</w:t>
      </w:r>
      <w:r>
        <w:rPr>
          <w:rFonts w:ascii="Times New Roman" w:hAnsi="Times New Roman"/>
          <w:sz w:val="20"/>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hAnsi="Times New Roman"/>
          <w:b/>
          <w:sz w:val="20"/>
        </w:rPr>
        <w:t>Prospectus</w:t>
      </w:r>
      <w:r>
        <w:rPr>
          <w:rFonts w:ascii="Times New Roman" w:hAnsi="Times New Roman"/>
          <w:sz w:val="20"/>
        </w:rPr>
        <w:t>” shall refer to such revised prospectus from and after the time it is first provided to the Agent for such use. The Registration Statement at the time it originally became effective is herein called the “</w:t>
      </w:r>
      <w:r>
        <w:rPr>
          <w:rFonts w:ascii="Times New Roman" w:hAnsi="Times New Roman"/>
          <w:b/>
          <w:sz w:val="20"/>
        </w:rPr>
        <w:t>Original Registration Statement.</w:t>
      </w:r>
      <w:r>
        <w:rPr>
          <w:rFonts w:ascii="Times New Roman" w:hAnsi="Times New Roman"/>
          <w:sz w:val="20"/>
        </w:rPr>
        <w:t xml:space="preserve">”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the time the Original Registration Statement was or will be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Registration Requirements</w:t>
      </w:r>
      <w:r>
        <w:rPr>
          <w:rFonts w:ascii="Times New Roman" w:hAnsi="Times New Roman"/>
          <w:sz w:val="20"/>
        </w:rPr>
        <w:t xml:space="preserve">. The Original Registration Statement and any Rule 462(b) Registration Statement shall have become effective under the Securities Act prior to the issuance of any Issuance Notice by the Company.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 </w:t>
      </w:r>
    </w:p>
    <w:p>
      <w:pPr>
        <w:pStyle w:val="TextBody"/>
        <w:bidi w:val="0"/>
        <w:spacing w:before="240" w:after="0"/>
        <w:jc w:val="left"/>
        <w:rPr>
          <w:rFonts w:ascii="Times New Roman" w:hAnsi="Times New Roman"/>
          <w:sz w:val="20"/>
        </w:rPr>
      </w:pPr>
      <w:r>
        <w:rPr>
          <w:rFonts w:ascii="Times New Roman" w:hAnsi="Times New Roman"/>
          <w:sz w:val="20"/>
        </w:rPr>
        <w:t>The Prospectus when filed complied or will comply in all material respects with the Securities Act and, if filed with the Commission through its Electronic Data Gathering, Analysis and Retrieval system (“</w:t>
      </w:r>
      <w:r>
        <w:rPr>
          <w:rFonts w:ascii="Times New Roman" w:hAnsi="Times New Roman"/>
          <w:b/>
          <w:sz w:val="20"/>
        </w:rPr>
        <w:t>EDGAR</w:t>
      </w:r>
      <w:r>
        <w:rPr>
          <w:rFonts w:ascii="Times New Roman" w:hAnsi="Times New Roman"/>
          <w:sz w:val="20"/>
        </w:rPr>
        <w:t xml:space="preserve">”)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Issuance Notice Date, Settlement Date, Triggering Event Date with respect to which the Company is obligated to deliver a certificate pursuant to </w:t>
      </w:r>
      <w:r>
        <w:rPr>
          <w:rFonts w:ascii="Times New Roman" w:hAnsi="Times New Roman"/>
          <w:sz w:val="20"/>
          <w:u w:val="single"/>
        </w:rPr>
        <w:t>Section 4(p)</w:t>
      </w:r>
      <w:r>
        <w:rPr>
          <w:rFonts w:ascii="Times New Roman" w:hAnsi="Times New Roman"/>
          <w:sz w:val="20"/>
        </w:rPr>
        <w:t xml:space="preserve"> and as of each Time of Sale, complied and will comply in all material respects with the Securities Act and did not and will not contain any untrue statement of a material fact or omit to state a material fact required to be stated therein or necessary to make the statements therein not misleading. The Prospectus, at the time the Registration Statement became or becomes effective, and any Free Writing Prospectus (as defined below) considered together (collectively, the “</w:t>
      </w:r>
      <w:r>
        <w:rPr>
          <w:rFonts w:ascii="Times New Roman" w:hAnsi="Times New Roman"/>
          <w:b/>
          <w:sz w:val="20"/>
        </w:rPr>
        <w:t>Time of Sale Information</w:t>
      </w:r>
      <w:r>
        <w:rPr>
          <w:rFonts w:ascii="Times New Roman" w:hAnsi="Times New Roman"/>
          <w:sz w:val="20"/>
        </w:rPr>
        <w:t xml:space="preserve">”) did not and will not contain any untrue statement of a material fact or omit to state a material fact necessary to make the statements therein, in the light of the circumstances under which they were made, not misleading. The Prospectus, as amended or supplemented, as of the most recent effective date of the Registration Statement and at each Issuance Notice Date, Settlement Date, Triggering Event Date with respect to which the Company is obligated to deliver a certificate pursuant to </w:t>
      </w:r>
      <w:r>
        <w:rPr>
          <w:rFonts w:ascii="Times New Roman" w:hAnsi="Times New Roman"/>
          <w:sz w:val="20"/>
          <w:u w:val="single"/>
        </w:rPr>
        <w:t>Section 4(p)</w:t>
      </w:r>
      <w:r>
        <w:rPr>
          <w:rFonts w:ascii="Times New Roman" w:hAnsi="Times New Roman"/>
          <w:sz w:val="20"/>
        </w:rPr>
        <w:t xml:space="preserve"> and as of each Time of Sale,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consists of the information described in </w:t>
      </w:r>
      <w:r>
        <w:rPr>
          <w:rFonts w:ascii="Times New Roman" w:hAnsi="Times New Roman"/>
          <w:sz w:val="20"/>
          <w:u w:val="single"/>
        </w:rPr>
        <w:t>Section 6</w:t>
      </w:r>
      <w:r>
        <w:rPr>
          <w:rFonts w:ascii="Times New Roman" w:hAnsi="Times New Roman"/>
          <w:sz w:val="20"/>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Incorporated Documents</w:t>
      </w:r>
      <w:r>
        <w:rPr>
          <w:rFonts w:ascii="Times New Roman" w:hAnsi="Times New Roman"/>
          <w:sz w:val="20"/>
        </w:rPr>
        <w:t xml:space="preserve">.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at the time the Registration Statement became or becomes effective, do not contain an untrue statement of a material fact or omit to state a material fact required to be stated therein or necessary to make the statements therein,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Exchange Act Compliance</w:t>
      </w:r>
      <w:r>
        <w:rPr>
          <w:rFonts w:ascii="Times New Roman" w:hAnsi="Times New Roman"/>
          <w:sz w:val="20"/>
        </w:rPr>
        <w:t xml:space="preserve">. The documents incorporated or deemed to be incorporated by reference in the Prospectus, at the time the Registration Statement became or becomes effective,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Emerging Growth Company</w:t>
      </w:r>
      <w:r>
        <w:rPr>
          <w:rFonts w:ascii="Times New Roman" w:hAnsi="Times New Roman"/>
          <w:sz w:val="20"/>
        </w:rPr>
        <w:t>. From the time of the initial confidential submission of the registration statement relating to the Company’s initial public offering to the Commission through the date hereof, the Company has been and is an “emerging growth company,” as defined in Section 2(a) of the Securities Act (an “</w:t>
      </w:r>
      <w:r>
        <w:rPr>
          <w:rFonts w:ascii="Times New Roman" w:hAnsi="Times New Roman"/>
          <w:b/>
          <w:sz w:val="20"/>
        </w:rPr>
        <w:t>Emerging Growth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 an Ineligible Issuer</w:t>
      </w:r>
      <w:r>
        <w:rPr>
          <w:rFonts w:ascii="Times New Roman" w:hAnsi="Times New Roman"/>
          <w:sz w:val="20"/>
        </w:rPr>
        <w:t xml:space="preserve">.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Organization and Good Standing</w:t>
      </w:r>
      <w:r>
        <w:rPr>
          <w:rFonts w:ascii="Times New Roman" w:hAnsi="Times New Roman"/>
          <w:sz w:val="20"/>
        </w:rPr>
        <w:t>. The Company and each of its subsidiaries have been duly organized and are validly existing as corporations or other legal entities in good standing (or the foreign equivalent thereof) under the laws of their respective jurisdictions of organization. The Company and each of its subsidiaries are duly qualified to do business and are in good standing as foreign corporations or other legal entities in each jurisdiction in which their respective ownership or lease of property or the conduct of their respective businesses requires such qualification and have all power and authority (corporate or other) necessary to own or hold their respective properties and to conduct the businesses in which they are engaged, except where the failure to so qualify or have such power or authority would not reasonably be expected to (i) have, singularly or in the aggregate, a material adverse effect on the business, properties, management, financial position, stockholders’ equity, results of operations or prospects of the Company and its subsidiaries taken as a whole, or (ii) impair in any material respect the ability of the Company to perform its obligations under this Agreement or to consummate any transactions contemplated by this Agreement, the Registration Statement or the Prospectus (any such effect as described in clauses (i) or (ii), a “</w:t>
      </w:r>
      <w:r>
        <w:rPr>
          <w:rFonts w:ascii="Times New Roman" w:hAnsi="Times New Roman"/>
          <w:b/>
          <w:sz w:val="20"/>
        </w:rPr>
        <w:t>Material Adverse Effect</w:t>
      </w:r>
      <w:r>
        <w:rPr>
          <w:rFonts w:ascii="Times New Roman" w:hAnsi="Times New Roman"/>
          <w:sz w:val="20"/>
        </w:rPr>
        <w:t xml:space="preserve">”).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most recent Annual Report on Form 10-K.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This Agreement</w:t>
      </w:r>
      <w:r>
        <w:rPr>
          <w:rFonts w:ascii="Times New Roman" w:hAnsi="Times New Roman"/>
          <w:sz w:val="20"/>
        </w:rPr>
        <w:t xml:space="preserve">. 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The Shares</w:t>
      </w:r>
      <w:r>
        <w:rPr>
          <w:rFonts w:ascii="Times New Roman" w:hAnsi="Times New Roman"/>
          <w:sz w:val="20"/>
        </w:rPr>
        <w:t xml:space="preserve">. The Shares have been duly and validly authorized and, when issued and delivered by the Company against payment therefor as provided herein, will be duly and validly issued, fully paid, nonassessable and free and clear of any preemptive or other similar rights; and the issuance of the Shares is not subject to any preemptive or similar rights.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Capitalization</w:t>
      </w:r>
      <w:r>
        <w:rPr>
          <w:rFonts w:ascii="Times New Roman" w:hAnsi="Times New Roman"/>
          <w:sz w:val="20"/>
        </w:rPr>
        <w:t xml:space="preserve">. The Company and its subsidiaries have an authorized capitalization as set forth in the Registration Statement and Prospectus, and all of the issued shares of capital stock of the Company and its subsidiaries, have been duly and validly authorized and issued, are fully paid, nonassessable and free and clear of any preemptive or other similar rights, have been issued in compliance with federal and state securities laws, and conform to the description thereof contained in the Registration Statement and the Prospectus. All of the Company’s and its subsidiaries’ options, warrants and other rights to purchase or exchange any securities for shares of the Company’s capital stock have been duly authorized and validly issued and were issued in compliance with federal and state securities laws. None of the outstanding shares of Common Shares was issued in violation of any preemptive rights, rights of first refusal or other similar rights to subscribe for or purchase securities of the Company or any of its subsidiaries. As of the date set forth in the Registration Statement and Prospectus, there were no authorized or outstanding shares of capital stock, options, warrants, preemptive rights, rights of first refusal or other rights to purchase, or equity or debt securities convertible into or exchangeable or exercisable for, any capital stock of the Company or any of its subsidiaries other than those described above or accurately described in the Registration Statement and Prospectus. Except as disclosed in the Registration Statement and Prospectus, the Company has not issued any securities other than Common Shares issued pursuant to the exercise of warrants or upon the exercise of stock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other awards outstanding under the Company’s stock option plans, options or other securities granted or issued pursuant to the Company’s existing equity compensation plans or other plans, and the issuance of Common Shares pursuant to employee stock purchase plans. The description of the Company’s stock option, stock bonus and other stock plans or arrangements, and the options or other rights granted thereunder, as described in the Registration Statement and the Prospectus, accurately and fairly present in all material respects the information required to be shown with respect to such plans, arrangements, options and rights.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No Conflicts</w:t>
      </w:r>
      <w:r>
        <w:rPr>
          <w:rFonts w:ascii="Times New Roman" w:hAnsi="Times New Roman"/>
          <w:sz w:val="20"/>
        </w:rPr>
        <w:t>. The execution, delivery and performance of this Agreement by the Company, the issue and sale of the Shares by the Company and the consummation of the transactions contemplated hereby will not (with or without notice or lapse of time or both) (i) conflict with or result in a breach or violation of any of the terms or provisions of, constitute a default or a Debt Repayment Triggering Event (as defined below) under, or result in the creation or imposition of any lien, encumbrance, security interest, claim or charge upon any property or assets of the Company or any subsidiary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analogous governing instruments, as applicable) of the Company or any of its subsidiaries or (iii) result in the violation of any law, statute, rule, regulation, judgment, order or decree of any court or governmental or regulatory agency or body, domestic or foreign, having jurisdiction over the Company or any of its subsidiaries or any of their properties or assets except, in the case of clauses (i) and (iii) above, for any such conflict, breach, violation or default that would not reasonably be expected, individually or in the aggregate, to have a Material Adverse Effect. A “</w:t>
      </w:r>
      <w:r>
        <w:rPr>
          <w:rFonts w:ascii="Times New Roman" w:hAnsi="Times New Roman"/>
          <w:b/>
          <w:sz w:val="20"/>
        </w:rPr>
        <w:t>Debt Repayment Triggering Event</w:t>
      </w:r>
      <w:r>
        <w:rPr>
          <w:rFonts w:ascii="Times New Roman" w:hAnsi="Times New Roman"/>
          <w:sz w:val="20"/>
        </w:rPr>
        <w:t xml:space="preserve">”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of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Consents Required</w:t>
      </w:r>
      <w:r>
        <w:rPr>
          <w:rFonts w:ascii="Times New Roman" w:hAnsi="Times New Roman"/>
          <w:sz w:val="20"/>
        </w:rPr>
        <w:t>. No consent, approval, authorization or order of, or filing, qualification or registration (each an “</w:t>
      </w:r>
      <w:r>
        <w:rPr>
          <w:rFonts w:ascii="Times New Roman" w:hAnsi="Times New Roman"/>
          <w:b/>
          <w:sz w:val="20"/>
        </w:rPr>
        <w:t>Authorization</w:t>
      </w:r>
      <w:r>
        <w:rPr>
          <w:rFonts w:ascii="Times New Roman" w:hAnsi="Times New Roman"/>
          <w:sz w:val="20"/>
        </w:rPr>
        <w:t xml:space="preserve">”) with, any court, governmental or regulatory agency or body, foreign or domestic, which has not been made, obtained or taken and is not in full force and effect, is required for the execution, delivery and performance of this Agreement by the Company, the issuance and sale of the Shares or the consummation of the transactions contemplated hereby; and no event has occurred that allows or results in, or after notice or lapse of time or both would allow or result in, revocation, suspension, termination or invalidation of any such Authorization or any other impairment of the rights of the holder or maker of any such Authorization. All corporate approvals (including those of stockholders) necessary for the Company to consummate the transactions contemplated by this Agreement have been obtained and are in effect.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Independent Auditors</w:t>
      </w:r>
      <w:r>
        <w:rPr>
          <w:rFonts w:ascii="Times New Roman" w:hAnsi="Times New Roman"/>
          <w:sz w:val="20"/>
        </w:rPr>
        <w:t xml:space="preserve">. Ernst &amp; Young LLP, or such other accountants, who has (y) expressed its opinion with respect to the financial statements and related schedules of the Company and its subsidiaries or (z) reviewed the financial statements, included and incorporated by reference in the Registration Statement and the Prospectus, is (i) an independent registered public accounting firm with respect to the Company and its subsidiaries as required by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the Exchange Act and the rules of the Public Company Accounting Oversight Board (the “</w:t>
      </w:r>
      <w:r>
        <w:rPr>
          <w:rFonts w:ascii="Times New Roman" w:hAnsi="Times New Roman"/>
          <w:b/>
          <w:sz w:val="20"/>
        </w:rPr>
        <w:t>PCAOB</w:t>
      </w:r>
      <w:r>
        <w:rPr>
          <w:rFonts w:ascii="Times New Roman" w:hAnsi="Times New Roman"/>
          <w:sz w:val="20"/>
        </w:rPr>
        <w:t xml:space="preserve">”),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Financial Statements</w:t>
      </w:r>
      <w:r>
        <w:rPr>
          <w:rFonts w:ascii="Times New Roman" w:hAnsi="Times New Roman"/>
          <w:sz w:val="20"/>
        </w:rPr>
        <w:t>. The financial statements, together with the related notes, included in the Prospectus and in the Registration Statement fairly present in all material respects the financial position and the results of operations and changes in financial position of the Company and its consolidated subsidiaries at the respective dates or for the respective periods therein specified. Such statements and related notes have been prepared in accordance with the generally accepted accounting principles in the United States (“</w:t>
      </w:r>
      <w:r>
        <w:rPr>
          <w:rFonts w:ascii="Times New Roman" w:hAnsi="Times New Roman"/>
          <w:b/>
          <w:sz w:val="20"/>
        </w:rPr>
        <w:t>GAAP</w:t>
      </w:r>
      <w:r>
        <w:rPr>
          <w:rFonts w:ascii="Times New Roman" w:hAnsi="Times New Roman"/>
          <w:sz w:val="20"/>
        </w:rPr>
        <w:t xml:space="preserve">”) applied on a consistent basis throughout the periods involved except as may be set forth in the related notes included in the Registration Statement and the Prospectus.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The financial statements, together with the related notes, included in the Registration Statement and the Prospectus comply in all material respects with Regulation S-X. No other financial statements or supporting schedules or exhibits are required by Regulation S-X to be described or included in the Registration Statement or the Prospectus. The summary and selected financial data included in the Prospectus and the Registration Statement fairly present in all material respects the information shown therein as at the respective dates and for the respective periods specified and are derived from the consolidated financial statements set forth in the Registration Statement and the Prospectus and other financial information. All information contained in the Registration Statement and the Prospectus regarding “non-GAAP financial measures” (as defined in Regulation G) complies with Regulation G and Item 10 of Regulations S-K, to the extent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No Material Adverse Change</w:t>
      </w:r>
      <w:r>
        <w:rPr>
          <w:rFonts w:ascii="Times New Roman" w:hAnsi="Times New Roman"/>
          <w:sz w:val="20"/>
        </w:rPr>
        <w:t xml:space="preserve">. Except as otherwise disclosed in the Registration Statement and the Prospectus, neither the Company nor any of its subsidiaries has sustained, since the date of the latest audited financial statements included in the Registration Statement and the Prospectus, (i) any material loss or interference with its business from fire, explosion, flood or other calamity, whether or not covered by insurance, or from any labor dispute or action, order or decree of any court or governmental or regulatory authority, otherwise than as set forth or contemplated in the Registration Statement and the Prospectus; (ii) any change in the capital stock (other than the issuance of shares of Common Shares upon exercise of stock options and warrants described as outstanding in, and the grant of options and awards under existing equity incentive plans described in, the Registration Statement and the Prospectus) or long-term debt of the Company or any of its subsidiaries, or any dividend or distribution of any kind declared, set aside for payment, paid or made by the Company on any class of capital stock, or any material adverse changes, or any development involving a prospective material adverse change, in or affecting the business, properties, assets, general affairs, management, financial position, prospects, stockholders’ equity or results of operations of the Company and its subsidiaries taken as a whole, otherwise than as set forth or contemplated in the Registration Statement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Legal Proceedings</w:t>
      </w:r>
      <w:r>
        <w:rPr>
          <w:rFonts w:ascii="Times New Roman" w:hAnsi="Times New Roman"/>
          <w:sz w:val="20"/>
        </w:rPr>
        <w:t>. There is no legal or governmental proceeding to which the Company or any of its subsidiaries is a party or of which any property or assets of the Company or any of its subsidiaries is the subject, including any proceeding before the United States Food and Drug Administration of the U.S. Department of Health and Human Services (the “</w:t>
      </w:r>
      <w:r>
        <w:rPr>
          <w:rFonts w:ascii="Times New Roman" w:hAnsi="Times New Roman"/>
          <w:b/>
          <w:sz w:val="20"/>
        </w:rPr>
        <w:t>FDA</w:t>
      </w:r>
      <w:r>
        <w:rPr>
          <w:rFonts w:ascii="Times New Roman" w:hAnsi="Times New Roman"/>
          <w:sz w:val="20"/>
        </w:rPr>
        <w:t>”) or comparable federal, state, local or foreign governmental bodies (it being understood that the interaction between the Company and the FDA and such comparable governmental bodies relating to the clinical development and product approval process shall not be deemed proceedings for purposes of this representation), which is required to be described in the Registration Statement, or the Prospectus and is not described therein, or which, singularly or in the aggregate, if determined adversely to the Company or any of its subsidiaries, could reasonably be expected to have a Material Adverse Effect; and no such proceedings are threatened or, to the Company’s knowledge after reasonable investigation and due diligence inquiry (“</w:t>
      </w:r>
      <w:r>
        <w:rPr>
          <w:rFonts w:ascii="Times New Roman" w:hAnsi="Times New Roman"/>
          <w:b/>
          <w:sz w:val="20"/>
        </w:rPr>
        <w:t>Knowledge</w:t>
      </w:r>
      <w:r>
        <w:rPr>
          <w:rFonts w:ascii="Times New Roman" w:hAnsi="Times New Roman"/>
          <w:sz w:val="20"/>
        </w:rPr>
        <w:t xml:space="preserve">”), contemplated by governmental or regulatory authorities or threatened by others. The Company is in compliance with all applicable federal, state, local and foreign laws, regulations, orders and decrees governing its business as prescribed by the FDA, or any other federal, state or foreign agencies or bodies engaged in the regulation of pharmaceuticals or biohazardous substances or materials, except where noncompliance would not, singly or in the aggregate, have a Material Adverse Effect. All preclinical and clinical studies conducted by or on behalf of the Company to support approval for commercialization of the Company’s products have been conducted by the Company, or to the Company’s Knowledge by third parties, in compliance with all applicable federal, state or foreign laws, rules, orders and regulations, except for such failure or failures to be in compliance as could not reasonably be expected to have, singly or in the aggregate, a Material Adverse Effect.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Violation or Default</w:t>
      </w:r>
      <w:r>
        <w:rPr>
          <w:rFonts w:ascii="Times New Roman" w:hAnsi="Times New Roman"/>
          <w:sz w:val="20"/>
        </w:rPr>
        <w:t xml:space="preserve">. Neither the Company nor any of its subsidiaries is (i) in violation of its charter or by-laws (or analogous governing instrument, as applicable), (ii) in default in any respect, and no event has occurred which, with notice or lapse of time or both, would constitute such a default, in the due performance or observance of any term, covenant or condition contained in any indenture, mortgage, deed of trust, loan agreement, lease or other agreement or instrument to which it is a party or by which it is bound or to which any of its property or assets is subject or (iii) in violation in any respect of any law, ordinance, governmental rule, regulation or court order, decree or judgment to which it or its property or assets may be subject (including, without limitation, those administered by the FDA or by any foreign, federal, state or local governmental or regulatory authority performing functions similar to those performed by the FDA) except, in the case of clauses (ii) and (iii) above, for any such violation or default that would not, singularly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Licenses or Permits</w:t>
      </w:r>
      <w:r>
        <w:rPr>
          <w:rFonts w:ascii="Times New Roman" w:hAnsi="Times New Roman"/>
          <w:sz w:val="20"/>
        </w:rPr>
        <w:t>. The Company and each of its subsidiaries possess all licenses, certificates, authorizations and permits issued by, and have made all declarations and filings with, the appropriate local, state, federal or foreign governmental or regulatory agencies or bodies (including, without limitation, those administered by the FDA or by any foreign, federal, state or local governmental or regulatory authority performing functions similar to those performed by the FDA) that are necessary for the ownership or lease of their respective properties or the conduct of their respective businesses as described in the Registration Statement and the Prospectus (collectively, the “</w:t>
      </w:r>
      <w:r>
        <w:rPr>
          <w:rFonts w:ascii="Times New Roman" w:hAnsi="Times New Roman"/>
          <w:b/>
          <w:sz w:val="20"/>
        </w:rPr>
        <w:t>Governmental Permits</w:t>
      </w:r>
      <w:r>
        <w:rPr>
          <w:rFonts w:ascii="Times New Roman" w:hAnsi="Times New Roman"/>
          <w:sz w:val="20"/>
        </w:rPr>
        <w:t xml:space="preserve">”) except where any failures to possess or make the same would not, singularly or in the aggregate, have a Material Adverse Effect. The Company and its subsidiaries are in compliance with all such Governmental Permits; all such Governmental Permits are valid and in full force and effect, except where the invalidity or failure to be in full force and effect would not, singularly or in the aggregate, have a Material Adverse Effect. Neither the Company nor any subsidiary has received notification of any revocation, modification, suspension, termination or invalidation (or proceedings related thereto) of any such Governmental Permit and the Company has no reason to believe that any such Governmental Permit will not be renewed.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Preclinical and Clinical Studies</w:t>
      </w:r>
      <w:r>
        <w:rPr>
          <w:rFonts w:ascii="Times New Roman" w:hAnsi="Times New Roman"/>
          <w:sz w:val="20"/>
        </w:rPr>
        <w:t>. The studies, tests and preclinical or clinical trials conducted by or on behalf of the Company that are described in the Registration Statement and the Prospectus (the “</w:t>
      </w:r>
      <w:r>
        <w:rPr>
          <w:rFonts w:ascii="Times New Roman" w:hAnsi="Times New Roman"/>
          <w:b/>
          <w:sz w:val="20"/>
        </w:rPr>
        <w:t>Company Studies and Trials</w:t>
      </w:r>
      <w:r>
        <w:rPr>
          <w:rFonts w:ascii="Times New Roman" w:hAnsi="Times New Roman"/>
          <w:sz w:val="20"/>
        </w:rPr>
        <w:t>”) were and, if still pending, are being, conducted in all material respects with all applicable federal, state and foreign laws, rules, orders and regulations, as well as in accordance with experimental protocols, procedures and controls; the descriptions of the results of the Company Studies and Trials contained in the Registration Statement and Prospectus are accurate in all material respects; the Company has no Knowledge of any other studies or trials not described in the Registration Statement and the Prospectus, the results of which are inconsistent with or call in question the results described or referred to in the Registration Statement and the Prospectus; and the Company has not received any notices or correspondence with the FDA or any foreign, state or local governmental body exercising comparable authority requiring the termination, suspension or material modification of any Company Studies or Trials that termination, suspension or material modification would reasonably be expected to have a Material Adverse Effect and, to the Company’s Knowledge, there are no reasonable grounds for the same. In using or disclosing patient information received by the Company in connection with the Company Studies and Trials, the Company has complied in all material respects with all applicable laws and regulatory rules or requirements, including, without limitation, the Health Insurance Portability and Accountability Act of 1996 (“</w:t>
      </w:r>
      <w:r>
        <w:rPr>
          <w:rFonts w:ascii="Times New Roman" w:hAnsi="Times New Roman"/>
          <w:b/>
          <w:sz w:val="20"/>
        </w:rPr>
        <w:t>HIPAA</w:t>
      </w:r>
      <w:r>
        <w:rPr>
          <w:rFonts w:ascii="Times New Roman" w:hAnsi="Times New Roman"/>
          <w:sz w:val="20"/>
        </w:rPr>
        <w:t xml:space="preserve">”) and the rules and regulations thereunder. To the Company’s Knowledge, none of the Company Studies and Trials involved any investigator who has been disqualified as a clinical investigator or has been found by the FDA to have engaged in scientific misconduct. To the Company’s Knowledge, the manufacturing facilities and operations of its suppliers are operated in compliance in all material respects with all applicable statutes, rules and regulations of the FDA and comparable regulatory agencies outside of the United States to which the Company is subject.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Regulatory Compliance</w:t>
      </w:r>
      <w:r>
        <w:rPr>
          <w:rFonts w:ascii="Times New Roman" w:hAnsi="Times New Roman"/>
          <w:sz w:val="20"/>
        </w:rPr>
        <w:t>. The Company has not received any unresolved FDA Form 483, written notice of adverse filing, warning letter or untitled letter from the FDA, or any other court or arbitrator or federal, state, local, or foreign governmental or regulatory authority, alleging or asserting noncompliance with the Federal Food, Drug and Cosmetic Act (21 U.S.C. § 301 et seq.) (the “</w:t>
      </w:r>
      <w:r>
        <w:rPr>
          <w:rFonts w:ascii="Times New Roman" w:hAnsi="Times New Roman"/>
          <w:b/>
          <w:sz w:val="20"/>
        </w:rPr>
        <w:t>FDCA</w:t>
      </w:r>
      <w:r>
        <w:rPr>
          <w:rFonts w:ascii="Times New Roman" w:hAnsi="Times New Roman"/>
          <w:sz w:val="20"/>
        </w:rPr>
        <w:t xml:space="preserve">”). The Company and its directors, officers, employees and agents is and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been in material compliance with applicable health care laws, including without limitation, the FDCA, the federal Anti-Kickback Statute (42 U.S.C. § 1320a-7b(b)), the civil False Claims Act (31 U.S.C. § 3729 et seq.), the criminal False Claims Law (42 U.S.C. § 1320a-7b(a)), the Civil Monetary Penalties Law (42 U.S.C. § 1320a-7a), the exclusion law (42 U.S.C. § 1320a-7), Medicare (Title XVIII of the Social Security Act), Medicaid (Title XIX of the Social Security Act), and the Patient Protection and Affordable Care Act of 2010, as amended by the Health Care and Education Affordability Reconciliation Act of 2010, including, without limitation, the Physician Payments Sunshine Act (42 U.S.C. § 1320a-7h), and the regulations promulgated pursuant to such laws, and comparable state laws, and all other local, state, federal, national, supranational, and foreign laws, manual provisions, policies and administrative guidance relating to the regulation of the Company (collectively, “</w:t>
      </w:r>
      <w:r>
        <w:rPr>
          <w:rFonts w:ascii="Times New Roman" w:hAnsi="Times New Roman"/>
          <w:b/>
          <w:sz w:val="20"/>
        </w:rPr>
        <w:t>Health Care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Health Care Product Manufacturing</w:t>
      </w:r>
      <w:r>
        <w:rPr>
          <w:rFonts w:ascii="Times New Roman" w:hAnsi="Times New Roman"/>
          <w:sz w:val="20"/>
        </w:rPr>
        <w:t>. The manufacture of the Company’s and its subsidiaries’ product candidates by or on behalf of the Company and its subsidiaries is being conducted in compliance in all material respects with all applicable Health Care Laws, including, without limitation, the FDA’s current good manufacturing practice regulations at 21 CFR Part 820, and, to the extent applicable, the respective counterparts thereof promulgated by governmental authorities in countries outside the United States. Neither the Company nor any of its subsidiaries has (i) had any manufacturing site (whether Company-owned, subsidiary-owned or that of a third party manufacturer for the Company’s or its subsidiaries’ product candidates) subject to a governmental authority (including FDA or the European Medicines Agency (“</w:t>
      </w:r>
      <w:r>
        <w:rPr>
          <w:rFonts w:ascii="Times New Roman" w:hAnsi="Times New Roman"/>
          <w:b/>
          <w:sz w:val="20"/>
        </w:rPr>
        <w:t>EMA</w:t>
      </w:r>
      <w:r>
        <w:rPr>
          <w:rFonts w:ascii="Times New Roman" w:hAnsi="Times New Roman"/>
          <w:sz w:val="20"/>
        </w:rPr>
        <w:t xml:space="preserve">”)) shutdown or import or export prohibition, nor received any FDA, EMA or other Governmental Authority “warning letters,” or “untitled letters” alleging or asserting material noncompliance with any applicable Health Care Laws, other than those that have been satisfactorily addressed and/or closed with the FDA, EMA or other governmental authority or (ii), either voluntarily or involuntarily, initiated, conducted or issued or caused to be initiated, conducted or issued, any recall, market withdrawal or replacement, safety alert, post-sale warning, “dear doctor” letter, or other notice or action relating to the alleged lack of safety or efficacy of any product or any alleged product defect or violation. To the Knowledge of the Company, neither the FDA, EMA or any other governmental authority is considering such action.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Investment Company Act</w:t>
      </w:r>
      <w:r>
        <w:rPr>
          <w:rFonts w:ascii="Times New Roman" w:hAnsi="Times New Roman"/>
          <w:sz w:val="20"/>
        </w:rPr>
        <w:t xml:space="preserve">. Neither the Company nor any of its subsidiaries is or, after receipt of payment for the Shares and the application of the proceeds thereof as described in the Registration Statement and the Prospectus, will be required to register as an “investment company” or an entity “controlled” by an “investment company” within the meaning of the Investment Company Act of 1940, as amended, and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No Stabilization</w:t>
      </w:r>
      <w:r>
        <w:rPr>
          <w:rFonts w:ascii="Times New Roman" w:hAnsi="Times New Roman"/>
          <w:sz w:val="20"/>
        </w:rPr>
        <w:t xml:space="preserve">. Neither the Company nor any of its subsidiaries, nor, to the Company’s Knowledge, any of its officers, directors or Affiliates has taken or will take, directly or indirectly, any action designed or intended to stabilize or manipulate the price of any security of the Company, or which caused or resulted in, or which might in the future reasonably be expected to cause or result in, stabilization or manipulation of the price of any security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Intellectual Property</w:t>
      </w:r>
      <w:r>
        <w:rPr>
          <w:rFonts w:ascii="Times New Roman" w:hAnsi="Times New Roman"/>
          <w:sz w:val="20"/>
        </w:rPr>
        <w:t>. Except as otherwise disclosed in the Registration Statement and the Prospectus, the Company and its subsidiaries own or possess the valid right to use all (i) valid and enforceable patents, patent applications, trademarks, trademark registrations, service marks, service mark registrations, Internet domain name registrations, copyrights, copyright registrations, licenses, trade secret rights (“</w:t>
      </w:r>
      <w:r>
        <w:rPr>
          <w:rFonts w:ascii="Times New Roman" w:hAnsi="Times New Roman"/>
          <w:b/>
          <w:sz w:val="20"/>
        </w:rPr>
        <w:t>Intellectual Property Rights</w:t>
      </w:r>
      <w:r>
        <w:rPr>
          <w:rFonts w:ascii="Times New Roman" w:hAnsi="Times New Roman"/>
          <w:sz w:val="20"/>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Times New Roman" w:hAnsi="Times New Roman"/>
          <w:b/>
          <w:sz w:val="20"/>
        </w:rPr>
        <w:t>Intellectual Property Assets</w:t>
      </w:r>
      <w:r>
        <w:rPr>
          <w:rFonts w:ascii="Times New Roman" w:hAnsi="Times New Roman"/>
          <w:sz w:val="20"/>
        </w:rPr>
        <w:t xml:space="preserve">”) necessary to conduct their respective businesses as currently conducted, and as proposed to be conducted and described in the Registration Statement and the Prospectus. The Company and its subsidiaries have not received any opinion from their legal counsel concluding that any activities of their respective businesses infringe, misappropriate, or otherwise violate, valid and enforceable Intellectual Property Rights of any other person, and have not received written notice of any challenge, which is to their Knowledge still pending, by any other person to the rights of the Company and its subsidiaries with respect to any Intellectual Property Rights or Intellectual Property Assets owned or used by the Company or its subsidiaries. To the Company’s Knowledge, the Company and its subsidiaries’ respective businesses as now conducted do not give rise to any infringement of, any misappropriation of, or other violation of, any valid and enforceable Intellectual Property Rights of any other person. All licenses for the use of the Intellectual Property Rights described in the Registration Statement and the Prospectus are valid, binding upon, and enforceable by or against the parties thereto in accordance to its terms. The Company has complied in all material respects with, and is not in breach nor has received any asserted or threatened claim of breach of any Intellectual Property license, and the Company has no knowledge of any breach or anticipated breach by any other person to any Intellectual Property license. Except as described in the Registration Statement and the Prospectus, no claim has been made against the Company alleging the infringement by the Company of any patent, trademark, service mark, trade name, copyright, trade secret, license in or other intellectual property right or franchise right of any person.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 With respect to the use of the software in the Company’s business as it is currently conducted, the Company has not experienced any material defects in such software including any material error or omission in the processing of any transactions other than defects which have been corrected, and to the Company’s Knowledge, no such software contains any device or feature designed to disrupt, disable, or otherwise impair the functioning of any software or is subject to the terms of any “open source” or other similar license that provides for the source code of the software to be publicly distributed or dedicated to the public.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Privacy Laws</w:t>
      </w:r>
      <w:r>
        <w:rPr>
          <w:rFonts w:ascii="Times New Roman" w:hAnsi="Times New Roman"/>
          <w:sz w:val="20"/>
        </w:rPr>
        <w:t>. The Company and its subsidiaries are, and at all prior times were, in material compliance with all applicable data privacy and security laws and regulations, in all applicable jurisdictions, including, without limitation, HIPAA, as amended by the Health Information Technology for Economic and Clinical Health Act (the “</w:t>
      </w:r>
      <w:r>
        <w:rPr>
          <w:rFonts w:ascii="Times New Roman" w:hAnsi="Times New Roman"/>
          <w:b/>
          <w:sz w:val="20"/>
        </w:rPr>
        <w:t>HITECH Act</w:t>
      </w:r>
      <w:r>
        <w:rPr>
          <w:rFonts w:ascii="Times New Roman" w:hAnsi="Times New Roman"/>
          <w:sz w:val="20"/>
        </w:rPr>
        <w:t xml:space="preserve">”) (42 U.S.C. Section 17921 et seq.), Australia’s Privacy Act, the final rule promulgated by the U.S. Department of Justice titled “Access to U.S. Sensitive Personal Data and Government-Related Data by Countries of Concern or Covered Persons,” 90 Fed. Reg. 1636 (Jan. 8, 2025) codified at 28 C.F.R.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202, including any amendments thereto and guidance issued thereunder (together, the “</w:t>
      </w:r>
      <w:r>
        <w:rPr>
          <w:rFonts w:ascii="Times New Roman" w:hAnsi="Times New Roman"/>
          <w:b/>
          <w:sz w:val="20"/>
        </w:rPr>
        <w:t>U.S. Data Security Program</w:t>
      </w:r>
      <w:r>
        <w:rPr>
          <w:rFonts w:ascii="Times New Roman" w:hAnsi="Times New Roman"/>
          <w:sz w:val="20"/>
        </w:rPr>
        <w:t>”), and the European Union General Data Protection Regulation (“</w:t>
      </w:r>
      <w:r>
        <w:rPr>
          <w:rFonts w:ascii="Times New Roman" w:hAnsi="Times New Roman"/>
          <w:b/>
          <w:sz w:val="20"/>
        </w:rPr>
        <w:t>GDPR</w:t>
      </w:r>
      <w:r>
        <w:rPr>
          <w:rFonts w:ascii="Times New Roman" w:hAnsi="Times New Roman"/>
          <w:sz w:val="20"/>
        </w:rPr>
        <w:t>”) (EU 2016/679) (collectively, “</w:t>
      </w:r>
      <w:r>
        <w:rPr>
          <w:rFonts w:ascii="Times New Roman" w:hAnsi="Times New Roman"/>
          <w:b/>
          <w:sz w:val="20"/>
        </w:rPr>
        <w:t>Privacy Laws</w:t>
      </w:r>
      <w:r>
        <w:rPr>
          <w:rFonts w:ascii="Times New Roman" w:hAnsi="Times New Roman"/>
          <w:sz w:val="20"/>
        </w:rPr>
        <w:t>”). To ensure compliance with the Privacy Laws, the Company and its subsidiaries have in place, comply with, and take appropriate steps reasonably designed to ensure compliance in all material respects with, policies and procedures relating to data privacy and security and the collection, storage, use, disclosure, handling, and other processing of Personal Data (the “</w:t>
      </w:r>
      <w:r>
        <w:rPr>
          <w:rFonts w:ascii="Times New Roman" w:hAnsi="Times New Roman"/>
          <w:b/>
          <w:sz w:val="20"/>
        </w:rPr>
        <w:t>Policies</w:t>
      </w:r>
      <w:r>
        <w:rPr>
          <w:rFonts w:ascii="Times New Roman" w:hAnsi="Times New Roman"/>
          <w:sz w:val="20"/>
        </w:rPr>
        <w:t>”). The Company provides accurate notice of its Policies to its customers, employees, third party vendors and representatives. The Policies provide accurate and sufficient notice of the Company’s then-current privacy practices relating to its subject matter and such Policies do not contain any material omissions of the Company’s then-current privacy practices. “</w:t>
      </w:r>
      <w:r>
        <w:rPr>
          <w:rFonts w:ascii="Times New Roman" w:hAnsi="Times New Roman"/>
          <w:b/>
          <w:sz w:val="20"/>
        </w:rPr>
        <w:t>Personal Data</w:t>
      </w:r>
      <w:r>
        <w:rPr>
          <w:rFonts w:ascii="Times New Roman" w:hAnsi="Times New Roman"/>
          <w:sz w:val="20"/>
        </w:rPr>
        <w:t xml:space="preserve">” means any information that is defined as “personally identifiable information,” “personal data,” “personal information,” or other similar term by any applicable Privacy Laws. None of such disclosures made or contained in any of the Policies have been inaccurate, misleading, deceptive or in violation of any Privacy Laws in any material respect. The execution, delivery and performance of this Agreement or any other agreement referred to in this Agreement will not result in a breach of any Privacy Laws or Policies. Neither the Company nor any of its subsidiaries,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imposed any obligation or liability under any Privacy Law.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IT Systems</w:t>
      </w:r>
      <w:r>
        <w:rPr>
          <w:rFonts w:ascii="Times New Roman" w:hAnsi="Times New Roman"/>
          <w:sz w:val="20"/>
        </w:rPr>
        <w:t>. (A)(x) Except as would not, singly or in the aggregate, reasonably be expected to have a Material Adverse Effect, there has been no security breach or attack or other compromise of or relating to any of the Company’s and its subsidiaries’ information technology and computer systems, networks, hardware, software, data (including any Personal Data or the data of their respective customers, employees, suppliers, vendors and any third party data maintained by or on behalf of them), equipment or technology (“</w:t>
      </w:r>
      <w:r>
        <w:rPr>
          <w:rFonts w:ascii="Times New Roman" w:hAnsi="Times New Roman"/>
          <w:b/>
          <w:sz w:val="20"/>
        </w:rPr>
        <w:t>IT Systems and Data</w:t>
      </w:r>
      <w:r>
        <w:rPr>
          <w:rFonts w:ascii="Times New Roman" w:hAnsi="Times New Roman"/>
          <w:sz w:val="20"/>
        </w:rPr>
        <w:t xml:space="preserve">”), and (y) the Company and its subsidiaries have not been notified of, and have no knowledge of any event or condition that would reasonably be expected to result in any security breach, attack or compromise to their IT Systems and Data, (B) the Company and its subsidiaries have materially complied, and are presently in material compliance with, all applicable laws, statutes or any judgment, order, rule or regulation of any court or arbitrator or governmental or regulatory authority and all applicable industry guidelines, standards, internal policies and contractual obligations relating to the privacy and security of IT Systems and Data and to the protection of such IT Systems and Data from unauthorized use, access, misappropriation or modification and (C) the Company and its subsidiaries have implemented backup and disaster recovery technology consistent with industry standards and practice, except in each case, to the extent that the failure to do so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Title to Real and Personal Property</w:t>
      </w:r>
      <w:r>
        <w:rPr>
          <w:rFonts w:ascii="Times New Roman" w:hAnsi="Times New Roman"/>
          <w:sz w:val="20"/>
        </w:rPr>
        <w:t xml:space="preserve">. The Company and each of its subsidiaries have good and marketable title in and (in the case of real property) to, or have valid and marketable rights to lease or otherwise use, all items of real or personal property which are material to the business of the Company and its subsidiaries taken as a whole, in each case free and clear of all liens, encumbrances, security interests, claims and defects that (i) do not, singularly or in the aggregate, materially affect the value of such property and do not materially interfere with the use made and proposed to be made of such property by the Company or any of its subsidiaries or (ii) could not reasonably be expected, singularly or in the aggregate,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No Labor Dispute</w:t>
      </w:r>
      <w:r>
        <w:rPr>
          <w:rFonts w:ascii="Times New Roman" w:hAnsi="Times New Roman"/>
          <w:sz w:val="20"/>
        </w:rPr>
        <w:t xml:space="preserve">. There is (A) no significant unfair labor practice complaint pending against the Company, or any of its subsidiaries, nor to the Company’s Knowledge, threatened against it or any of its subsidiaries, before the National Labor Relations Board, any state or local labor relation board or any foreign labor relations board, and no significant grievance or significant arbitration proceeding arising out of or under any collective bargaining agreement is so pending against the Company or any of its subsidiaries, or, to the Company’s Knowledge, threatened against it and (B) no labor disturbance by or dispute with, employees of the Company or any of its subsidiaries exists or, to the Company’s Knowledge, is contemplated or threatened, and the Company is not aware of any existing or imminent labor disturbance by the employees of any of its or its subsidiaries’ principal suppliers, manufacturers, customers or contractors, that could reasonably be expected, singularly or in the aggregate, to have a Material Adverse Effect. The Company is not aware that any key employee or significant group of employees of the Company or any subsidiary plans to terminate employment with the Company or any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Compliance with ERISA</w:t>
      </w:r>
      <w:r>
        <w:rPr>
          <w:rFonts w:ascii="Times New Roman" w:hAnsi="Times New Roman"/>
          <w:sz w:val="20"/>
        </w:rPr>
        <w:t>. No “prohibited transaction” (as defined in Section 406 of the Employee Retirement Income Security Act of 1974, as amended, including the regulations and published interpretations thereunder (“</w:t>
      </w:r>
      <w:r>
        <w:rPr>
          <w:rFonts w:ascii="Times New Roman" w:hAnsi="Times New Roman"/>
          <w:b/>
          <w:sz w:val="20"/>
        </w:rPr>
        <w:t>ERISA</w:t>
      </w:r>
      <w:r>
        <w:rPr>
          <w:rFonts w:ascii="Times New Roman" w:hAnsi="Times New Roman"/>
          <w:sz w:val="20"/>
        </w:rPr>
        <w:t>”), or Section 4975 of the Internal Revenue Code of 1986, as amended from time to time (the “</w:t>
      </w:r>
      <w:r>
        <w:rPr>
          <w:rFonts w:ascii="Times New Roman" w:hAnsi="Times New Roman"/>
          <w:b/>
          <w:sz w:val="20"/>
        </w:rPr>
        <w:t>Code</w:t>
      </w:r>
      <w:r>
        <w:rPr>
          <w:rFonts w:ascii="Times New Roman" w:hAnsi="Times New Roman"/>
          <w:sz w:val="20"/>
        </w:rPr>
        <w:t xml:space="preserve">”))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or any of its subsidiaries which could, singularly or in the aggregate, have a Material Adverse Effect. Each employee benefit plan of the Company or any of its subsidiaries is in compliance in all material respects with applicable law, including ERISA and the Code. The Company and its subsidiaries have not incurred and could not reasonably be expected to incur liability under Title IV of ERISA with respect to the termination of, or withdrawal from, any pension plan (as defined in ERISA). Each pension plan for which the Company or any of its subsidiaries would have any liability that is intended to be qualified under Section 401(a) of the Code is so qualified, and nothing has occurred, whether by action or by failure to act, which could, singularly or in the aggregate,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Environmental Laws and Hazardous Materials</w:t>
      </w:r>
      <w:r>
        <w:rPr>
          <w:rFonts w:ascii="Times New Roman" w:hAnsi="Times New Roman"/>
          <w:sz w:val="20"/>
        </w:rPr>
        <w:t>. The Company and its subsidiaries are in compliance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Times New Roman" w:hAnsi="Times New Roman"/>
          <w:b/>
          <w:sz w:val="20"/>
        </w:rPr>
        <w:t>Environmental Laws</w:t>
      </w:r>
      <w:r>
        <w:rPr>
          <w:rFonts w:ascii="Times New Roman" w:hAnsi="Times New Roman"/>
          <w:sz w:val="20"/>
        </w:rPr>
        <w:t xml:space="preserve">”). There has been no storage, generation, transportation, handling, treatment, disposal, discharge, emission, or other release of any kind of toxic or other wastes or other hazardous substances by, due to, or caused by the Company or any of its subsidiaries (or, to the Company’s Knowledge, any other entity for whose acts or omissions the Company or any of its subsidiaries is or may otherwise be liable) upon any of the property now or previously owned or leased by the Company or any of its subsidiaries, or upon any other property, in violation of any law, statute, ordinance, rule, regulation, order, judgment, decree or permit or which would, under any law, statute, ordinance, rule (including rule of common law), regulation, order, judgment, decree or permit, give rise to any liability; and there has been no disposal, discharge, emission or other release of any kind onto such property or into the environment surrounding such property of any toxic or other wastes or other hazardous substances with respect to which the Company or any of its subsidiaries has knowledge.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Taxes</w:t>
      </w:r>
      <w:r>
        <w:rPr>
          <w:rFonts w:ascii="Times New Roman" w:hAnsi="Times New Roman"/>
          <w:sz w:val="20"/>
        </w:rPr>
        <w:t xml:space="preserve">. The Company and its subsidiaries each (i) have timely filed all necessary federal, state, local and foreign tax returns, and all such returns were true, complete and correct, (ii) have paid all federal, state, local and foreign taxes, for which it is liable, including, without limitation, all sales and use taxes and all taxes which the Company or any of its subsidiaries is obligated to withhold from amounts owing to employees, creditors and third parties, and (iii) do not have any tax deficiency or claims outstanding or assessed or, to its Knowledge, proposed against any of them, except those, in each of the cases described in clauses (i), (ii) and (iii) above, that would not, singularly or in the aggregate, have a Material Adverse Effect. There are no outstanding agreements or waivers extending the statutory period of limitation applicable to any federal, state, local or foreign tax return for any period.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Insurance</w:t>
      </w:r>
      <w:r>
        <w:rPr>
          <w:rFonts w:ascii="Times New Roman" w:hAnsi="Times New Roman"/>
          <w:sz w:val="20"/>
        </w:rPr>
        <w:t xml:space="preserve">. The Company and each of its subsidiaries carry, or are covered by, insurance in such amounts and covering such risks as is adequate for the conduct of their respective businesses and the value of their respective properties.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Neither the Company nor any of its subsidiaries has received written notice from any insurer, agent of such insurer or the broker of the Company or any of its subsidiaries that any material capital improvements or any other material expenditures (other than premium payments) are required or necessary to be made in order to continue such insurance.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Accounting Controls</w:t>
      </w:r>
      <w:r>
        <w:rPr>
          <w:rFonts w:ascii="Times New Roman" w:hAnsi="Times New Roman"/>
          <w:sz w:val="20"/>
        </w:rPr>
        <w:t>. The Company and each of its subsidiaries maintains a system of “internal control over financial reporting” (as such term is defined in Rule 13a-15(f) of the General Rules and Regulations under the Exchange Act (the “</w:t>
      </w:r>
      <w:r>
        <w:rPr>
          <w:rFonts w:ascii="Times New Roman" w:hAnsi="Times New Roman"/>
          <w:b/>
          <w:sz w:val="20"/>
        </w:rPr>
        <w:t>Exchange Act Rules</w:t>
      </w:r>
      <w:r>
        <w:rPr>
          <w:rFonts w:ascii="Times New Roman" w:hAnsi="Times New Roman"/>
          <w:sz w:val="20"/>
        </w:rPr>
        <w:t xml:space="preserve">”)) that complies with the requirements of the Exchange Act and has been designed by their respective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The Company’s internal control over financial reporting is effective. Except as described in the Registration Statement and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Disclosure Controls</w:t>
      </w:r>
      <w:r>
        <w:rPr>
          <w:rFonts w:ascii="Times New Roman" w:hAnsi="Times New Roman"/>
          <w:sz w:val="20"/>
        </w:rPr>
        <w:t xml:space="preserve">. The Company and its subsidiaries maintain disclosure controls and procedures (as such term is defined in Rule 13a-15(e) of the Exchange Act Rules) that comply with the requirements of the Exchange Act; such disclosure controls and procedures have been designed to ensure that information required to be disclosed by the Company and its subsidiaries in reports that they file or submit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 The Company and its subsidiaries have conducted evaluations of the effectiveness of their disclosure controls as required by Rule 13a-15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Minute Books</w:t>
      </w:r>
      <w:r>
        <w:rPr>
          <w:rFonts w:ascii="Times New Roman" w:hAnsi="Times New Roman"/>
          <w:sz w:val="20"/>
        </w:rPr>
        <w:t xml:space="preserve">. The minute books of the Company and each of its subsidiaries have been made available to the Agent and counsel for the Agent, and such books (i) contain a complete summary of all meetings and actions of the board of directors (including each board committee) and stockholders of the Company (or analogous governing bodies and interest holders, as applicable), and each of its subsidiaries since the time of its respective incorporation or organization through the date of the latest meeting and action, and (ii) accurately in all material respects reflect all transactions referred to in such minutes.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sz w:val="20"/>
          <w:u w:val="single"/>
        </w:rPr>
        <w:t>No Undisclosed Relationships</w:t>
      </w:r>
      <w:r>
        <w:rPr>
          <w:rFonts w:ascii="Times New Roman" w:hAnsi="Times New Roman"/>
          <w:sz w:val="20"/>
        </w:rPr>
        <w:t xml:space="preserve">. No relationship, direct or indirect, exists between or among the Company or any of its subsidiaries on the one hand, and the directors, officers, stockholders (or analogous interest holders), customers or suppliers of the Company or any of its Affiliates on the other hand, which is required to be described in the Registration Statement and the Prospectus and which is not so described.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sz w:val="20"/>
          <w:u w:val="single"/>
        </w:rPr>
        <w:t>No Registration Rights</w:t>
      </w:r>
      <w:r>
        <w:rPr>
          <w:rFonts w:ascii="Times New Roman" w:hAnsi="Times New Roman"/>
          <w:sz w:val="20"/>
        </w:rPr>
        <w:t xml:space="preserve">. No person or entity has the right to require registration of shares of Common Shares or other securities of the Company or any of its subsidiaries because of the filing or effectiveness of the Registration Statement or otherwise, except for persons and entities who have expressly waived such right in writing or who have been given timely and proper written notice and have failed to exercise such right within the time or times required under the terms and conditions of such right. Except as described in the Registration Statement and Prospectus, there are no persons with registration rights or similar rights to have any securities registered by the Company or any of its subsidiaries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(ll) </w:t>
      </w:r>
      <w:r>
        <w:rPr>
          <w:rFonts w:ascii="Times New Roman" w:hAnsi="Times New Roman"/>
          <w:sz w:val="20"/>
          <w:u w:val="single"/>
        </w:rPr>
        <w:t>Margin Rules</w:t>
      </w:r>
      <w:r>
        <w:rPr>
          <w:rFonts w:ascii="Times New Roman" w:hAnsi="Times New Roman"/>
          <w:sz w:val="20"/>
        </w:rPr>
        <w:t xml:space="preserve">. The application of the proceeds received by the Company from the issuance, sale and delivery of the Shares as described in the Registration Statement and the Prospectus will not violate Regulation T, U or X of the Board of Governors of the Federal Reserve system or any other regulation of such Board of Governors.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sz w:val="20"/>
          <w:u w:val="single"/>
        </w:rPr>
        <w:t>No Broker’s Fees</w:t>
      </w:r>
      <w:r>
        <w:rPr>
          <w:rFonts w:ascii="Times New Roman" w:hAnsi="Times New Roman"/>
          <w:sz w:val="20"/>
        </w:rPr>
        <w:t xml:space="preserve">. Neither the Company nor any of its subsidiaries is a party to any contract, agreement or understanding with any person that would give rise to a valid claim against the Company or any of its subsidiaries for a brokerage commission, finder’s fee or like payment in connection with the offering and sale of the Shares or any transaction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(nn) </w:t>
      </w:r>
      <w:r>
        <w:rPr>
          <w:rFonts w:ascii="Times New Roman" w:hAnsi="Times New Roman"/>
          <w:sz w:val="20"/>
          <w:u w:val="single"/>
        </w:rPr>
        <w:t>Forward-Looking Statements</w:t>
      </w:r>
      <w:r>
        <w:rPr>
          <w:rFonts w:ascii="Times New Roman" w:hAnsi="Times New Roman"/>
          <w:sz w:val="20"/>
        </w:rPr>
        <w:t xml:space="preserve">. No forward-looking statement (within the meaning of Section 27A of the Securities Act and Section 21E of the Exchange Act) contained in either the Registration Statement or the Prospectus has been made or reaffirmed without a reasonable basis or has been disclosed other than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(oo) </w:t>
      </w:r>
      <w:r>
        <w:rPr>
          <w:rFonts w:ascii="Times New Roman" w:hAnsi="Times New Roman"/>
          <w:sz w:val="20"/>
          <w:u w:val="single"/>
        </w:rPr>
        <w:t>Listing</w:t>
      </w:r>
      <w:r>
        <w:rPr>
          <w:rFonts w:ascii="Times New Roman" w:hAnsi="Times New Roman"/>
          <w:sz w:val="20"/>
        </w:rPr>
        <w:t xml:space="preserve">. The Shares have been approved for listing subject to notice of issuance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 </w:t>
      </w:r>
    </w:p>
    <w:p>
      <w:pPr>
        <w:pStyle w:val="TextBody"/>
        <w:bidi w:val="0"/>
        <w:spacing w:before="240" w:after="0"/>
        <w:jc w:val="left"/>
        <w:rPr>
          <w:rFonts w:ascii="Times New Roman" w:hAnsi="Times New Roman"/>
          <w:sz w:val="20"/>
        </w:rPr>
      </w:pPr>
      <w:r>
        <w:rPr>
          <w:rFonts w:ascii="Times New Roman" w:hAnsi="Times New Roman"/>
          <w:sz w:val="20"/>
        </w:rPr>
        <w:t xml:space="preserve">(pp) </w:t>
      </w:r>
      <w:r>
        <w:rPr>
          <w:rFonts w:ascii="Times New Roman" w:hAnsi="Times New Roman"/>
          <w:sz w:val="20"/>
          <w:u w:val="single"/>
        </w:rPr>
        <w:t>Sarbanes-Oxley Act</w:t>
      </w:r>
      <w:r>
        <w:rPr>
          <w:rFonts w:ascii="Times New Roman" w:hAnsi="Times New Roman"/>
          <w:sz w:val="20"/>
        </w:rPr>
        <w:t>. There is and has been no failure on the part of the Company or, to the Company’s Knowledge, any of the Company’s officers or directors, in their capacities as such, to comply with any provision of the Sarbanes-Oxley Act of 2002 and the rules and regulations promulgated in connection therewith (the “</w:t>
      </w:r>
      <w:r>
        <w:rPr>
          <w:rFonts w:ascii="Times New Roman" w:hAnsi="Times New Roman"/>
          <w:b/>
          <w:sz w:val="20"/>
        </w:rPr>
        <w:t>Sarbanes-Oxley Act</w:t>
      </w:r>
      <w:r>
        <w:rPr>
          <w:rFonts w:ascii="Times New Roman" w:hAnsi="Times New Roman"/>
          <w:sz w:val="20"/>
        </w:rPr>
        <w:t xml:space="preserve">”), including Section 402 related to loans and Sections 302 and 906 related to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(qq) </w:t>
      </w:r>
      <w:r>
        <w:rPr>
          <w:rFonts w:ascii="Times New Roman" w:hAnsi="Times New Roman"/>
          <w:sz w:val="20"/>
          <w:u w:val="single"/>
        </w:rPr>
        <w:t>No Unlawful Payments</w:t>
      </w:r>
      <w:r>
        <w:rPr>
          <w:rFonts w:ascii="Times New Roman" w:hAnsi="Times New Roman"/>
          <w:sz w:val="20"/>
        </w:rPr>
        <w:t xml:space="preserve">. Neither the Company nor any of its subsidiaries nor any director, officer, or employee thereof, or, to the Company’s Knowledge, any agent, Affiliate or other person acting on behalf of the Company or any subsidiary, has (i) used any corporate funds for unlawful contributions, gifts, entertainment or other unlawful expenses relating to political activity, (ii) made any direct or indirect unlawful payment to foreign or domestic government officials or employees, political parties or campaigns, political party officials, or candidates for political office from corporate funds, (iii) violated or is in violation of any provision of the U.S. Foreign Corrupt Practices Act of 1977, as amended, or any applicable anti-corruption laws, rules, or regulations of any other jurisdiction in which the Company or any subsidiary conducts business, or (iv) made any other unlawful bribe, rebate, payoff, influence payment, kickback, or other unlawful payment to any person. </w:t>
      </w:r>
    </w:p>
    <w:p>
      <w:pPr>
        <w:pStyle w:val="TextBody"/>
        <w:bidi w:val="0"/>
        <w:spacing w:before="240" w:after="0"/>
        <w:jc w:val="left"/>
        <w:rPr>
          <w:rFonts w:ascii="Times New Roman" w:hAnsi="Times New Roman"/>
          <w:sz w:val="20"/>
        </w:rPr>
      </w:pPr>
      <w:r>
        <w:rPr>
          <w:rFonts w:ascii="Times New Roman" w:hAnsi="Times New Roman"/>
          <w:sz w:val="20"/>
        </w:rPr>
        <w:t xml:space="preserve">(rr) </w:t>
      </w:r>
      <w:r>
        <w:rPr>
          <w:rFonts w:ascii="Times New Roman" w:hAnsi="Times New Roman"/>
          <w:sz w:val="20"/>
          <w:u w:val="single"/>
        </w:rPr>
        <w:t>Loans</w:t>
      </w:r>
      <w:r>
        <w:rPr>
          <w:rFonts w:ascii="Times New Roman" w:hAnsi="Times New Roman"/>
          <w:sz w:val="20"/>
        </w:rPr>
        <w:t xml:space="preserve">.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and the Prospectus. All transactions by the Company with office holders or control persons of the Company have been duly approved by Board, or duly appointed committees or officers thereof, if and to the extent required under U.S. law. </w:t>
      </w:r>
    </w:p>
    <w:p>
      <w:pPr>
        <w:pStyle w:val="TextBody"/>
        <w:bidi w:val="0"/>
        <w:spacing w:before="240" w:after="0"/>
        <w:jc w:val="left"/>
        <w:rPr>
          <w:rFonts w:ascii="Times New Roman" w:hAnsi="Times New Roman"/>
          <w:sz w:val="20"/>
        </w:rPr>
      </w:pPr>
      <w:r>
        <w:rPr>
          <w:rFonts w:ascii="Times New Roman" w:hAnsi="Times New Roman"/>
          <w:sz w:val="20"/>
        </w:rPr>
        <w:t xml:space="preserve">(ss) </w:t>
      </w:r>
      <w:r>
        <w:rPr>
          <w:rFonts w:ascii="Times New Roman" w:hAnsi="Times New Roman"/>
          <w:sz w:val="20"/>
          <w:u w:val="single"/>
        </w:rPr>
        <w:t>Statistical and Market Data</w:t>
      </w:r>
      <w:r>
        <w:rPr>
          <w:rFonts w:ascii="Times New Roman" w:hAnsi="Times New Roman"/>
          <w:sz w:val="20"/>
        </w:rPr>
        <w:t xml:space="preserve">. The statistical and market related data included in the Registration Statement or the Prospectus are based on or derived from sources that the Company believes to be reliable and accurate, and such data agree with the sources from which they are derived. </w:t>
      </w:r>
    </w:p>
    <w:p>
      <w:pPr>
        <w:pStyle w:val="TextBody"/>
        <w:bidi w:val="0"/>
        <w:spacing w:before="240" w:after="0"/>
        <w:jc w:val="left"/>
        <w:rPr>
          <w:rFonts w:ascii="Times New Roman" w:hAnsi="Times New Roman"/>
          <w:sz w:val="20"/>
        </w:rPr>
      </w:pPr>
      <w:r>
        <w:rPr>
          <w:rFonts w:ascii="Times New Roman" w:hAnsi="Times New Roman"/>
          <w:sz w:val="20"/>
        </w:rPr>
        <w:t xml:space="preserve">(tt) </w:t>
      </w:r>
      <w:r>
        <w:rPr>
          <w:rFonts w:ascii="Times New Roman" w:hAnsi="Times New Roman"/>
          <w:sz w:val="20"/>
          <w:u w:val="single"/>
        </w:rPr>
        <w:t>Compliance with Money Laundering Laws</w:t>
      </w:r>
      <w:r>
        <w:rPr>
          <w:rFonts w:ascii="Times New Roman" w:hAnsi="Times New Roman"/>
          <w:sz w:val="20"/>
        </w:rPr>
        <w:t xml:space="preserve">. The operations of the Company and its subsidiaries are and have been conducted at all times in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hAnsi="Times New Roman"/>
          <w:b/>
          <w:sz w:val="20"/>
        </w:rPr>
        <w:t>Anti-Money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Anti-Money Laundering Laws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(uu) </w:t>
      </w:r>
      <w:r>
        <w:rPr>
          <w:rFonts w:ascii="Times New Roman" w:hAnsi="Times New Roman"/>
          <w:sz w:val="20"/>
          <w:u w:val="single"/>
        </w:rPr>
        <w:t>Compliance with OFAC Regulations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Neither the Company nor any of its subsidiaries, nor any director, officer or employee thereof, nor, to the Company’s knowledge, any agent, Affiliate, representative or other person acting on behalf of the Company or any of its subsidiaries, is an individual or entity (“</w:t>
      </w:r>
      <w:r>
        <w:rPr>
          <w:rFonts w:ascii="Times New Roman" w:hAnsi="Times New Roman"/>
          <w:b/>
          <w:sz w:val="20"/>
        </w:rPr>
        <w:t>Person</w:t>
      </w:r>
      <w:r>
        <w:rPr>
          <w:rFonts w:ascii="Times New Roman" w:hAnsi="Times New Roman"/>
          <w:sz w:val="20"/>
        </w:rPr>
        <w:t>”) that is, or is owned or controlled by a Person that is: (i) the subject of any sanctions administered or enforced by the U.S. Department of Treasury’s Office of Foreign Assets Control (“</w:t>
      </w:r>
      <w:r>
        <w:rPr>
          <w:rFonts w:ascii="Times New Roman" w:hAnsi="Times New Roman"/>
          <w:b/>
          <w:sz w:val="20"/>
        </w:rPr>
        <w:t>OFAC</w:t>
      </w:r>
      <w:r>
        <w:rPr>
          <w:rFonts w:ascii="Times New Roman" w:hAnsi="Times New Roman"/>
          <w:sz w:val="20"/>
        </w:rPr>
        <w:t>”), the United Nations Security Council (“</w:t>
      </w:r>
      <w:r>
        <w:rPr>
          <w:rFonts w:ascii="Times New Roman" w:hAnsi="Times New Roman"/>
          <w:b/>
          <w:sz w:val="20"/>
        </w:rPr>
        <w:t>UNSC</w:t>
      </w:r>
      <w:r>
        <w:rPr>
          <w:rFonts w:ascii="Times New Roman" w:hAnsi="Times New Roman"/>
          <w:sz w:val="20"/>
        </w:rPr>
        <w:t>”), the European Union (“</w:t>
      </w:r>
      <w:r>
        <w:rPr>
          <w:rFonts w:ascii="Times New Roman" w:hAnsi="Times New Roman"/>
          <w:b/>
          <w:sz w:val="20"/>
        </w:rPr>
        <w:t>EU</w:t>
      </w:r>
      <w:r>
        <w:rPr>
          <w:rFonts w:ascii="Times New Roman" w:hAnsi="Times New Roman"/>
          <w:sz w:val="20"/>
        </w:rPr>
        <w:t>”), His Majesty’s Treasury (“</w:t>
      </w:r>
      <w:r>
        <w:rPr>
          <w:rFonts w:ascii="Times New Roman" w:hAnsi="Times New Roman"/>
          <w:b/>
          <w:sz w:val="20"/>
        </w:rPr>
        <w:t>HMT</w:t>
      </w:r>
      <w:r>
        <w:rPr>
          <w:rFonts w:ascii="Times New Roman" w:hAnsi="Times New Roman"/>
          <w:sz w:val="20"/>
        </w:rPr>
        <w:t>”), or other relevant sanctions authority (collectively, “</w:t>
      </w:r>
      <w:r>
        <w:rPr>
          <w:rFonts w:ascii="Times New Roman" w:hAnsi="Times New Roman"/>
          <w:b/>
          <w:sz w:val="20"/>
        </w:rPr>
        <w:t>Sanctions</w:t>
      </w:r>
      <w:r>
        <w:rPr>
          <w:rFonts w:ascii="Times New Roman" w:hAnsi="Times New Roman"/>
          <w:sz w:val="20"/>
        </w:rPr>
        <w:t xml:space="preserve">”), nor (ii) located, organized or resident in a country or territory that is the subject of a U.S. government embargo (including, without limitation, Cuba, Iran, North Korea, Syria, Crimea, the so-called Donetsk People’s Republic and so-called Luhansk People’s Republic regions of Ukraine).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will not, directly or indirectly, use the proceeds of the offering, or lend, contribute or otherwise make available such proceeds to any subsidiary, joint venture partner or other Person: (i) to fund or facilitate any activities or business of or with any Person that, at the time of such funding or facilitation, is the subject of Sanctions, or in any country or territory that, at the time of such funding or facilitation, is the subject of a U.S. government embargo; or (ii) in any other manner that will result in a violation of Sanctions by any Person (including any Person participating in the offering, whether as underwriter, advisor, investor or otherwise). </w:t>
      </w:r>
    </w:p>
    <w:p>
      <w:pPr>
        <w:pStyle w:val="TextBody"/>
        <w:bidi w:val="0"/>
        <w:spacing w:before="120" w:after="0"/>
        <w:jc w:val="left"/>
        <w:rPr>
          <w:rFonts w:ascii="Times New Roman" w:hAnsi="Times New Roman"/>
          <w:sz w:val="20"/>
        </w:rPr>
      </w:pPr>
      <w:r>
        <w:rPr>
          <w:rFonts w:ascii="Times New Roman" w:hAnsi="Times New Roman"/>
          <w:sz w:val="20"/>
        </w:rPr>
        <w:t xml:space="preserve">(C) Since April 24, 2019, the Company and its subsidiaries have not knowingly engaged in, are not now knowingly engaged in, and will not engage in, any direct or indirect, dealings or transactions with any Person that at the time of the dealing or transaction is or was the subject of Sanctions or any country or territory that, at the time of the dealing or transaction is or was the subject of a U.S. government embargo. </w:t>
      </w:r>
    </w:p>
    <w:p>
      <w:pPr>
        <w:pStyle w:val="TextBody"/>
        <w:bidi w:val="0"/>
        <w:spacing w:before="240" w:after="0"/>
        <w:jc w:val="left"/>
        <w:rPr>
          <w:rFonts w:ascii="Times New Roman" w:hAnsi="Times New Roman"/>
          <w:sz w:val="20"/>
        </w:rPr>
      </w:pPr>
      <w:r>
        <w:rPr>
          <w:rFonts w:ascii="Times New Roman" w:hAnsi="Times New Roman"/>
          <w:sz w:val="20"/>
        </w:rPr>
        <w:t xml:space="preserve">(vv) </w:t>
      </w:r>
      <w:r>
        <w:rPr>
          <w:rFonts w:ascii="Times New Roman" w:hAnsi="Times New Roman"/>
          <w:sz w:val="20"/>
          <w:u w:val="single"/>
        </w:rPr>
        <w:t>No Associated Persons</w:t>
      </w:r>
      <w:r>
        <w:rPr>
          <w:rFonts w:ascii="Times New Roman" w:hAnsi="Times New Roman"/>
          <w:sz w:val="20"/>
        </w:rPr>
        <w:t>. Neither the Company nor any of its Affiliates (within the meaning of FINRA Rule 5121(f)(1)) directly or indirectly controls, is controlled by, or is under common control with, or is an associated person (within the meaning of Article I, Section 1(ee) of the By-laws of with Financial Industry Regulatory Authority, Inc.’s (“</w:t>
      </w:r>
      <w:r>
        <w:rPr>
          <w:rFonts w:ascii="Times New Roman" w:hAnsi="Times New Roman"/>
          <w:b/>
          <w:sz w:val="20"/>
        </w:rPr>
        <w:t>FINRA</w:t>
      </w:r>
      <w:r>
        <w:rPr>
          <w:rFonts w:ascii="Times New Roman" w:hAnsi="Times New Roman"/>
          <w:sz w:val="20"/>
        </w:rPr>
        <w:t xml:space="preserve">”)) of, any member firm of FINRA.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(ww) </w:t>
      </w:r>
      <w:r>
        <w:rPr>
          <w:rFonts w:ascii="Times New Roman" w:hAnsi="Times New Roman"/>
          <w:sz w:val="20"/>
          <w:u w:val="single"/>
        </w:rPr>
        <w:t>FINRA Matters</w:t>
      </w:r>
      <w:r>
        <w:rPr>
          <w:rFonts w:ascii="Times New Roman" w:hAnsi="Times New Roman"/>
          <w:sz w:val="20"/>
        </w:rPr>
        <w:t xml:space="preserve">. Any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FINRA rules and any letters, filings or other supplemental information provided to FINRA pursuant to FINRA Rules or NASD Conduct Rules is true, complete and correct. The Company qualifies as an “experienced issuer” (within the meaning of FINRA Conduct Rule 5110(j)(6)) for purposes of the exemption from filing under FINRA Conduct Rule 5110(h)(1)(C). </w:t>
      </w:r>
    </w:p>
    <w:p>
      <w:pPr>
        <w:pStyle w:val="TextBody"/>
        <w:bidi w:val="0"/>
        <w:spacing w:before="24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No Acquisitions or Dispositions</w:t>
      </w:r>
      <w:r>
        <w:rPr>
          <w:rFonts w:ascii="Times New Roman" w:hAnsi="Times New Roman"/>
          <w:sz w:val="20"/>
        </w:rPr>
        <w:t xml:space="preserve">. Except as are described in the Registration Statement, the Registration Statement and the Prospectus, there are no contracts, letters of intent, term sheets, agreement, arrangements or understandings with respect to the direct or indirect acquisition or disposition by the Company of material interests in real or personal property. </w:t>
      </w:r>
    </w:p>
    <w:p>
      <w:pPr>
        <w:pStyle w:val="TextBody"/>
        <w:bidi w:val="0"/>
        <w:spacing w:before="240" w:after="0"/>
        <w:jc w:val="left"/>
        <w:rPr>
          <w:rFonts w:ascii="Times New Roman" w:hAnsi="Times New Roman"/>
          <w:sz w:val="20"/>
        </w:rPr>
      </w:pPr>
      <w:r>
        <w:rPr>
          <w:rFonts w:ascii="Times New Roman" w:hAnsi="Times New Roman"/>
          <w:sz w:val="20"/>
        </w:rPr>
        <w:t xml:space="preserve">(yy) </w:t>
      </w:r>
      <w:r>
        <w:rPr>
          <w:rFonts w:ascii="Times New Roman" w:hAnsi="Times New Roman"/>
          <w:sz w:val="20"/>
          <w:u w:val="single"/>
        </w:rPr>
        <w:t>Accuracy of Exhibits</w:t>
      </w:r>
      <w:r>
        <w:rPr>
          <w:rFonts w:ascii="Times New Roman" w:hAnsi="Times New Roman"/>
          <w:sz w:val="20"/>
        </w:rPr>
        <w:t xml:space="preserve">. There are no contracts or documents which are required to be described in the Registration Statement or the Prospectus or to be filed as exhibits to the Registration Statement which have not been so described and filed as required. </w:t>
      </w:r>
    </w:p>
    <w:p>
      <w:pPr>
        <w:pStyle w:val="TextBody"/>
        <w:bidi w:val="0"/>
        <w:spacing w:before="240" w:after="0"/>
        <w:jc w:val="left"/>
        <w:rPr>
          <w:rFonts w:ascii="Times New Roman" w:hAnsi="Times New Roman"/>
          <w:sz w:val="20"/>
        </w:rPr>
      </w:pPr>
      <w:r>
        <w:rPr>
          <w:rFonts w:ascii="Times New Roman" w:hAnsi="Times New Roman"/>
          <w:sz w:val="20"/>
        </w:rPr>
        <w:t xml:space="preserve">(zz) </w:t>
      </w:r>
      <w:r>
        <w:rPr>
          <w:rFonts w:ascii="Times New Roman" w:hAnsi="Times New Roman"/>
          <w:sz w:val="20"/>
          <w:u w:val="single"/>
        </w:rPr>
        <w:t>No Outstanding Loans or Other Extensions of Credit</w:t>
      </w:r>
      <w:r>
        <w:rPr>
          <w:rFonts w:ascii="Times New Roman" w:hAnsi="Times New Roman"/>
          <w:sz w:val="20"/>
        </w:rPr>
        <w:t xml:space="preserve">. The Company does not have any outstanding extension of credit, in the form of a personal loan, to or for any director or executive officer (or equivalent thereof) of the Company except for such extensions of credit as are expressly permitted by Section 13(k)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(aaa) </w:t>
      </w:r>
      <w:r>
        <w:rPr>
          <w:rFonts w:ascii="Times New Roman" w:hAnsi="Times New Roman"/>
          <w:sz w:val="20"/>
          <w:u w:val="single"/>
        </w:rPr>
        <w:t>Compliance with Laws</w:t>
      </w:r>
      <w:r>
        <w:rPr>
          <w:rFonts w:ascii="Times New Roman" w:hAnsi="Times New Roman"/>
          <w:sz w:val="20"/>
        </w:rPr>
        <w:t xml:space="preserve">. The Company and its subsidiaries have been and are in compliance with all applicable laws, rules and regulations, except where failure to be so in compliance would not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(bbb) </w:t>
      </w:r>
      <w:r>
        <w:rPr>
          <w:rFonts w:ascii="Times New Roman" w:hAnsi="Times New Roman"/>
          <w:sz w:val="20"/>
          <w:u w:val="single"/>
        </w:rPr>
        <w:t>Dividend Restrictions</w:t>
      </w:r>
      <w:r>
        <w:rPr>
          <w:rFonts w:ascii="Times New Roman" w:hAnsi="Times New Roman"/>
          <w:sz w:val="20"/>
        </w:rPr>
        <w:t xml:space="preserve">.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 </w:t>
      </w:r>
    </w:p>
    <w:p>
      <w:pPr>
        <w:pStyle w:val="TextBody"/>
        <w:bidi w:val="0"/>
        <w:spacing w:before="240" w:after="0"/>
        <w:jc w:val="left"/>
        <w:rPr>
          <w:rFonts w:ascii="Times New Roman" w:hAnsi="Times New Roman"/>
          <w:sz w:val="20"/>
        </w:rPr>
      </w:pPr>
      <w:r>
        <w:rPr>
          <w:rFonts w:ascii="Times New Roman" w:hAnsi="Times New Roman"/>
          <w:sz w:val="20"/>
        </w:rPr>
        <w:t xml:space="preserve">(ccc) </w:t>
      </w:r>
      <w:r>
        <w:rPr>
          <w:rFonts w:ascii="Times New Roman" w:hAnsi="Times New Roman"/>
          <w:sz w:val="20"/>
          <w:u w:val="single"/>
        </w:rPr>
        <w:t>Duties, Transfer Taxes, Etc</w:t>
      </w:r>
      <w:r>
        <w:rPr>
          <w:rFonts w:ascii="Times New Roman" w:hAnsi="Times New Roman"/>
          <w:sz w:val="20"/>
        </w:rPr>
        <w:t xml:space="preserve">.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 </w:t>
      </w:r>
    </w:p>
    <w:p>
      <w:pPr>
        <w:pStyle w:val="TextBody"/>
        <w:bidi w:val="0"/>
        <w:spacing w:before="240" w:after="0"/>
        <w:jc w:val="left"/>
        <w:rPr>
          <w:rFonts w:ascii="Times New Roman" w:hAnsi="Times New Roman"/>
          <w:sz w:val="20"/>
        </w:rPr>
      </w:pPr>
      <w:r>
        <w:rPr>
          <w:rFonts w:ascii="Times New Roman" w:hAnsi="Times New Roman"/>
          <w:sz w:val="20"/>
        </w:rPr>
        <w:t xml:space="preserve">(ddd) </w:t>
      </w:r>
      <w:r>
        <w:rPr>
          <w:rFonts w:ascii="Times New Roman" w:hAnsi="Times New Roman"/>
          <w:sz w:val="20"/>
          <w:u w:val="single"/>
        </w:rPr>
        <w:t>Other Underwriting Agreements</w:t>
      </w:r>
      <w:r>
        <w:rPr>
          <w:rFonts w:ascii="Times New Roman" w:hAnsi="Times New Roman"/>
          <w:sz w:val="20"/>
        </w:rPr>
        <w:t xml:space="preserve">. The Company is not a party to any agreement with an agent or underwriter for any other “at the market” or continuous equity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(eee) </w:t>
      </w:r>
      <w:r>
        <w:rPr>
          <w:rFonts w:ascii="Times New Roman" w:hAnsi="Times New Roman"/>
          <w:sz w:val="20"/>
          <w:u w:val="single"/>
        </w:rPr>
        <w:t>Outbound Investment Security Program</w:t>
      </w:r>
      <w:r>
        <w:rPr>
          <w:rFonts w:ascii="Times New Roman" w:hAnsi="Times New Roman"/>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 w:hAnsi="Times New Roman"/>
          <w:b/>
          <w:sz w:val="20"/>
        </w:rPr>
        <w:t>Covered Activity</w:t>
      </w:r>
      <w:r>
        <w:rPr>
          <w:rFonts w:ascii="Times New Roman" w:hAnsi="Times New Roman"/>
          <w:sz w:val="20"/>
        </w:rPr>
        <w:t xml:space="preserve">”).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that the Agent and, for purposes of the opinions to be delivered pursuant to </w:t>
      </w:r>
      <w:r>
        <w:rPr>
          <w:rFonts w:ascii="Times New Roman" w:hAnsi="Times New Roman"/>
          <w:sz w:val="20"/>
          <w:u w:val="single"/>
        </w:rPr>
        <w:t>Section 4(q)</w:t>
      </w:r>
      <w:r>
        <w:rPr>
          <w:rFonts w:ascii="Times New Roman" w:hAnsi="Times New Roman"/>
          <w:sz w:val="20"/>
        </w:rPr>
        <w:t xml:space="preserve"> hereof, counsel to the Company and counsel to the Agent, will rely upon the accuracy and truthfulness of the foregoing representations and hereby consents to such reliance.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 ISSUANCE AND SALE OF COMMON SHARES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Sale of Securities</w:t>
      </w:r>
      <w:r>
        <w:rPr>
          <w:rFonts w:ascii="Times New Roman" w:hAnsi="Times New Roman"/>
          <w:sz w:val="20"/>
        </w:rPr>
        <w:t xml:space="preserve">.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Mechanics of Issuances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Issuance Notice</w:t>
      </w:r>
      <w:r>
        <w:rPr>
          <w:rFonts w:ascii="Times New Roman" w:hAnsi="Times New Roman"/>
          <w:sz w:val="20"/>
        </w:rPr>
        <w:t xml:space="preserve">. Upon the terms and subject to the conditions set forth herein, on any Trading Day during the Agency Period on which the conditions set forth in </w:t>
      </w:r>
      <w:r>
        <w:rPr>
          <w:rFonts w:ascii="Times New Roman" w:hAnsi="Times New Roman"/>
          <w:sz w:val="20"/>
          <w:u w:val="single"/>
        </w:rPr>
        <w:t>Section 5(a)</w:t>
      </w:r>
      <w:r>
        <w:rPr>
          <w:rFonts w:ascii="Times New Roman" w:hAnsi="Times New Roman"/>
          <w:sz w:val="20"/>
        </w:rPr>
        <w:t xml:space="preserve"> and </w:t>
      </w:r>
      <w:r>
        <w:rPr>
          <w:rFonts w:ascii="Times New Roman" w:hAnsi="Times New Roman"/>
          <w:sz w:val="20"/>
          <w:u w:val="single"/>
        </w:rPr>
        <w:t>Section 5(b)</w:t>
      </w:r>
      <w:r>
        <w:rPr>
          <w:rFonts w:ascii="Times New Roman" w:hAnsi="Times New Roman"/>
          <w:sz w:val="20"/>
        </w:rPr>
        <w:t xml:space="preserve"> shall have been satisfied, the Company may exercise its right to request an issuance of Shares by delivering to the Agent an Issuance Notice; provided, however, that (A) in no event may the Company deliver an Issuance Notice to the extent that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Agent Efforts</w:t>
      </w:r>
      <w:r>
        <w:rPr>
          <w:rFonts w:ascii="Times New Roman" w:hAnsi="Times New Roman"/>
          <w:sz w:val="20"/>
        </w:rPr>
        <w:t xml:space="preserve">.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Method of Offer and Sale</w:t>
      </w:r>
      <w:r>
        <w:rPr>
          <w:rFonts w:ascii="Times New Roman" w:hAnsi="Times New Roman"/>
          <w:sz w:val="20"/>
        </w:rPr>
        <w:t>. The Shares may be offered and sold (A) in negotiated transactions with the consent of the Company or (B) by any other method permitted by law deemed to be an “</w:t>
      </w:r>
      <w:r>
        <w:rPr>
          <w:rFonts w:ascii="Times New Roman" w:hAnsi="Times New Roman"/>
          <w:b/>
          <w:sz w:val="20"/>
        </w:rPr>
        <w:t>at the market offering</w:t>
      </w:r>
      <w:r>
        <w:rPr>
          <w:rFonts w:ascii="Times New Roman" w:hAnsi="Times New Roman"/>
          <w:sz w:val="20"/>
        </w:rPr>
        <w:t xml:space="preserve">” as defined in Rule 415(a)(4) under the Securities Act, including block transactions,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 (A) above) the method of placement of any Shares by the Agent shall be at the Agent’s discretion.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Confirmation to the Company</w:t>
      </w:r>
      <w:r>
        <w:rPr>
          <w:rFonts w:ascii="Times New Roman" w:hAnsi="Times New Roman"/>
          <w:sz w:val="20"/>
        </w:rPr>
        <w:t xml:space="preserve">.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Settlement</w:t>
      </w:r>
      <w:r>
        <w:rPr>
          <w:rFonts w:ascii="Times New Roman" w:hAnsi="Times New Roman"/>
          <w:sz w:val="20"/>
        </w:rPr>
        <w:t xml:space="preserve">. Each issuance of Shares will be settled on the applicable Settlement Date for such issuance of Shares and, subject to the provisions of </w:t>
      </w:r>
      <w:r>
        <w:rPr>
          <w:rFonts w:ascii="Times New Roman" w:hAnsi="Times New Roman"/>
          <w:sz w:val="20"/>
          <w:u w:val="single"/>
        </w:rPr>
        <w:t>Section 5</w:t>
      </w:r>
      <w:r>
        <w:rPr>
          <w:rFonts w:ascii="Times New Roman" w:hAnsi="Times New Roman"/>
          <w:sz w:val="20"/>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Times New Roman" w:hAnsi="Times New Roman"/>
          <w:b/>
          <w:sz w:val="20"/>
        </w:rPr>
        <w:t>Time of Sale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Suspension or Termination of Sales</w:t>
      </w:r>
      <w:r>
        <w:rPr>
          <w:rFonts w:ascii="Times New Roman" w:hAnsi="Times New Roman"/>
          <w:sz w:val="20"/>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 w:hAnsi="Times New Roman"/>
          <w:sz w:val="20"/>
          <w:u w:val="single"/>
        </w:rPr>
        <w:t>Section 3(b)(v)</w:t>
      </w:r>
      <w:r>
        <w:rPr>
          <w:rFonts w:ascii="Times New Roman" w:hAnsi="Times New Roman"/>
          <w:sz w:val="20"/>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Times New Roman" w:hAnsi="Times New Roman"/>
          <w:sz w:val="20"/>
          <w:u w:val="single"/>
        </w:rPr>
        <w:t>Section 3(b)(i)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No Guarantee of Placement, Etc</w:t>
      </w:r>
      <w:r>
        <w:rPr>
          <w:rFonts w:ascii="Times New Roman" w:hAnsi="Times New Roman"/>
          <w:sz w:val="20"/>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Material Non-Public Information</w:t>
      </w:r>
      <w:r>
        <w:rPr>
          <w:rFonts w:ascii="Times New Roman" w:hAnsi="Times New Roman"/>
          <w:sz w:val="20"/>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Fees</w:t>
      </w:r>
      <w:r>
        <w:rPr>
          <w:rFonts w:ascii="Times New Roman" w:hAnsi="Times New Roman"/>
          <w:sz w:val="20"/>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hAnsi="Times New Roman"/>
          <w:sz w:val="20"/>
          <w:u w:val="single"/>
        </w:rPr>
        <w:t>Section 3(b)(vi)</w:t>
      </w:r>
      <w:r>
        <w:rPr>
          <w:rFonts w:ascii="Times New Roman" w:hAnsi="Times New Roman"/>
          <w:sz w:val="20"/>
        </w:rPr>
        <w:t xml:space="preserve">) by the Agent deducting the Selling Commission from the applicable Issuance Amount.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Expenses</w:t>
      </w:r>
      <w:r>
        <w:rPr>
          <w:rFonts w:ascii="Times New Roman" w:hAnsi="Times New Roman"/>
          <w:sz w:val="20"/>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hAnsi="Times New Roman"/>
          <w:b/>
          <w:sz w:val="20"/>
        </w:rPr>
        <w:t>Blue Sky Survey</w:t>
      </w:r>
      <w:r>
        <w:rPr>
          <w:rFonts w:ascii="Times New Roman" w:hAnsi="Times New Roman"/>
          <w:sz w:val="20"/>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$100,000 in connection with execution of this Agreement; (B) in an amount not to exceed $50,000 for each program “refresh” (filing of a new registration statement, prospectus or prospectus supplement relating to the Shares and/or an amendment of this Agreement), excluding any expense reimbursement otherwise governed by Sections 3(d)(A), (C) and (D) of this Agreement; (C) $30,000 in connection with each Triggering Event Date (as defined below) involving the filing of a Form 10-K on which the Company is required to provide a certificate pursuant to </w:t>
      </w:r>
      <w:r>
        <w:rPr>
          <w:rFonts w:ascii="Times New Roman" w:hAnsi="Times New Roman"/>
          <w:sz w:val="20"/>
          <w:u w:val="single"/>
        </w:rPr>
        <w:t>Section 4(p)</w:t>
      </w:r>
      <w:r>
        <w:rPr>
          <w:rFonts w:ascii="Times New Roman" w:hAnsi="Times New Roman"/>
          <w:sz w:val="20"/>
        </w:rPr>
        <w:t xml:space="preserve">; and (D) $25,000 in connection with each other Triggering Event Date (as defined below) on which the Company is required to provide a certificate pursuant to </w:t>
      </w:r>
      <w:r>
        <w:rPr>
          <w:rFonts w:ascii="Times New Roman" w:hAnsi="Times New Roman"/>
          <w:sz w:val="20"/>
          <w:u w:val="single"/>
        </w:rPr>
        <w:t>Section 4(p)</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 ADDITIONAL COVENANTS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and agrees with the Agent as follows, in addition to any other covenants and agreements made elsewhere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Act Compliance</w:t>
      </w:r>
      <w:r>
        <w:rPr>
          <w:rFonts w:ascii="Times New Roman" w:hAnsi="Times New Roman"/>
          <w:sz w:val="20"/>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 w:hAnsi="Times New Roman"/>
          <w:b/>
          <w:sz w:val="20"/>
        </w:rPr>
        <w:t>Interim Prospectus Supplement</w:t>
      </w:r>
      <w:r>
        <w:rPr>
          <w:rFonts w:ascii="Times New Roman" w:hAnsi="Times New Roman"/>
          <w:sz w:val="20"/>
        </w:rPr>
        <w:t xml:space="preserve">”), such summary information and, at least once a quarter and subject to this </w:t>
      </w:r>
      <w:r>
        <w:rPr>
          <w:rFonts w:ascii="Times New Roman" w:hAnsi="Times New Roman"/>
          <w:sz w:val="20"/>
          <w:u w:val="single"/>
        </w:rPr>
        <w:t>Section 4</w:t>
      </w:r>
      <w:r>
        <w:rPr>
          <w:rFonts w:ascii="Times New Roman" w:hAnsi="Times New Roman"/>
          <w:sz w:val="20"/>
        </w:rPr>
        <w:t xml:space="preserve">, file such Interim Prospectus Supplement pursuant to Rule 424(b) under the Securities Act (and within the time periods required by Rule 424(b) and Rule 430B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Securities Act Compliance</w:t>
      </w:r>
      <w:r>
        <w:rPr>
          <w:rFonts w:ascii="Times New Roman" w:hAnsi="Times New Roman"/>
          <w:sz w:val="20"/>
        </w:rPr>
        <w:t xml:space="preserve">.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Amendments and Supplements to the Prospectus and Other Securities Act Matters</w:t>
      </w:r>
      <w:r>
        <w:rPr>
          <w:rFonts w:ascii="Times New Roman" w:hAnsi="Times New Roman"/>
          <w:sz w:val="20"/>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w:t>
      </w:r>
      <w:r>
        <w:rPr>
          <w:rFonts w:ascii="Times New Roman" w:hAnsi="Times New Roman"/>
          <w:sz w:val="20"/>
          <w:u w:val="single"/>
        </w:rPr>
        <w:t>Section 4(d)</w:t>
      </w:r>
      <w:r>
        <w:rPr>
          <w:rFonts w:ascii="Times New Roman" w:hAnsi="Times New Roman"/>
          <w:sz w:val="20"/>
        </w:rPr>
        <w:t xml:space="preserve"> and </w:t>
      </w:r>
      <w:r>
        <w:rPr>
          <w:rFonts w:ascii="Times New Roman" w:hAnsi="Times New Roman"/>
          <w:sz w:val="20"/>
          <w:u w:val="single"/>
        </w:rPr>
        <w:t>Section 4(f)</w:t>
      </w:r>
      <w:r>
        <w:rPr>
          <w:rFonts w:ascii="Times New Roman" w:hAnsi="Times New Roman"/>
          <w:sz w:val="20"/>
        </w:rPr>
        <w:t xml:space="preserve">) to promptly prepare, file with the Commission and furnish at its own expense to the Agent, amendments or supplements to the Prospectus (including by filing a document incorporated by reference therein)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(it being acknowledged that the Company may delay the filing of any amendment or supplement if, in the judgment of the Company, it is in the best interest of the Company). Neither the Agent’s consent to, or delivery of, any such amendment or supplement shall constitute a waiver of any of the Company’s obligations under </w:t>
      </w:r>
      <w:r>
        <w:rPr>
          <w:rFonts w:ascii="Times New Roman" w:hAnsi="Times New Roman"/>
          <w:sz w:val="20"/>
          <w:u w:val="single"/>
        </w:rPr>
        <w:t>Section 4(d)</w:t>
      </w:r>
      <w:r>
        <w:rPr>
          <w:rFonts w:ascii="Times New Roman" w:hAnsi="Times New Roman"/>
          <w:sz w:val="20"/>
        </w:rPr>
        <w:t xml:space="preserve"> and </w:t>
      </w:r>
      <w:r>
        <w:rPr>
          <w:rFonts w:ascii="Times New Roman" w:hAnsi="Times New Roman"/>
          <w:sz w:val="20"/>
          <w:u w:val="single"/>
        </w:rPr>
        <w:t>Section 4(f)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Agent’s Review of Proposed Amendments and Supplements</w:t>
      </w:r>
      <w:r>
        <w:rPr>
          <w:rFonts w:ascii="Times New Roman" w:hAnsi="Times New Roman"/>
          <w:sz w:val="20"/>
        </w:rPr>
        <w:t xml:space="preserve">. Prior to amending or supplementing the Registration Statement (including any registration statement filed under Rule 462(b) under the Securities Act) or the Prospectus (excluding any amendment or supplement through incorporation of any report filed under the Exchange Act), other than any amendment or supplement that does not relate to the sale of Common Shares under this Agreement,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Use of Free Writing Prospectus</w:t>
      </w:r>
      <w:r>
        <w:rPr>
          <w:rFonts w:ascii="Times New Roman" w:hAnsi="Times New Roman"/>
          <w:sz w:val="20"/>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hAnsi="Times New Roman"/>
          <w:b/>
          <w:sz w:val="20"/>
        </w:rPr>
        <w:t>Free Writing 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Free Writing Prospectuses</w:t>
      </w:r>
      <w:r>
        <w:rPr>
          <w:rFonts w:ascii="Times New Roman" w:hAnsi="Times New Roman"/>
          <w:sz w:val="20"/>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Filing of Agent Free Writing Prospectuses</w:t>
      </w:r>
      <w:r>
        <w:rPr>
          <w:rFonts w:ascii="Times New Roman" w:hAnsi="Times New Roman"/>
          <w:sz w:val="20"/>
        </w:rPr>
        <w:t xml:space="preserve">.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Copies of Registration Statement and Prospectus</w:t>
      </w:r>
      <w:r>
        <w:rPr>
          <w:rFonts w:ascii="Times New Roman" w:hAnsi="Times New Roman"/>
          <w:sz w:val="20"/>
        </w:rPr>
        <w:t xml:space="preserve">.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Blue Sky Compliance</w:t>
      </w:r>
      <w:r>
        <w:rPr>
          <w:rFonts w:ascii="Times New Roman" w:hAnsi="Times New Roman"/>
          <w:sz w:val="20"/>
        </w:rPr>
        <w:t xml:space="preserve">.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Earnings Statement</w:t>
      </w:r>
      <w:r>
        <w:rPr>
          <w:rFonts w:ascii="Times New Roman" w:hAnsi="Times New Roman"/>
          <w:sz w:val="20"/>
        </w:rPr>
        <w:t xml:space="preserve">.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which requirement may be satisfied by publicly filing the required information on EDGAR.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Listing; Reservation of Shares</w:t>
      </w:r>
      <w:r>
        <w:rPr>
          <w:rFonts w:ascii="Times New Roman" w:hAnsi="Times New Roman"/>
          <w:sz w:val="20"/>
        </w:rPr>
        <w:t xml:space="preserve">. (a) The Company will use its reasonable best efforts to maintain the listing of the Shares on the Principal Market; and (b) the Company will reserve and keep available at all times, free of preemptive rights, Shares for the purpose of enabling the Company to satisfy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Transfer Agent</w:t>
      </w:r>
      <w:r>
        <w:rPr>
          <w:rFonts w:ascii="Times New Roman" w:hAnsi="Times New Roman"/>
          <w:sz w:val="20"/>
        </w:rPr>
        <w:t xml:space="preserve">. The Company shall engage and maintain, at its expense, a registrar and transfer agent for the Shares.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Emerging Growth Company Status</w:t>
      </w:r>
      <w:r>
        <w:rPr>
          <w:rFonts w:ascii="Times New Roman" w:hAnsi="Times New Roman"/>
          <w:sz w:val="20"/>
        </w:rPr>
        <w:t xml:space="preserve">. During the Agency Period, the Company agrees to notify the Agent as soon as practicable upon the Company ceasing to be an Emerging Growth Company.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Due Diligence</w:t>
      </w:r>
      <w:r>
        <w:rPr>
          <w:rFonts w:ascii="Times New Roman" w:hAnsi="Times New Roman"/>
          <w:sz w:val="20"/>
        </w:rPr>
        <w:t xml:space="preserve">.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or virtually, as the Agent may reasonably request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Representations and Warranties</w:t>
      </w:r>
      <w:r>
        <w:rPr>
          <w:rFonts w:ascii="Times New Roman" w:hAnsi="Times New Roman"/>
          <w:sz w:val="20"/>
        </w:rPr>
        <w:t xml:space="preserve">.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Deliverables at Triggering Event Dates; Certificates</w:t>
      </w:r>
      <w:r>
        <w:rPr>
          <w:rFonts w:ascii="Times New Roman" w:hAnsi="Times New Roman"/>
          <w:sz w:val="20"/>
        </w:rPr>
        <w:t xml:space="preserve">. The Company agrees that on or prior to the date of the first Issuance Notice and, during the term of this Agreement after the date of the first Issuance Notice, upon: </w:t>
      </w:r>
    </w:p>
    <w:p>
      <w:pPr>
        <w:pStyle w:val="TextBody"/>
        <w:bidi w:val="0"/>
        <w:spacing w:before="240" w:after="0"/>
        <w:jc w:val="left"/>
        <w:rPr>
          <w:rFonts w:ascii="Times New Roman" w:hAnsi="Times New Roman"/>
          <w:sz w:val="20"/>
        </w:rPr>
      </w:pPr>
      <w:r>
        <w:rPr>
          <w:rFonts w:ascii="Times New Roman" w:hAnsi="Times New Roman"/>
          <w:sz w:val="20"/>
        </w:rPr>
        <w:t xml:space="preserve">(A) the filing of the Prospectus or the amendment or supplement of any Registration Statement or Prospectus (other than a prospectus supplement relating solely to an offering of securities other than the Shares or a prospectus filed pursuant to </w:t>
      </w:r>
      <w:r>
        <w:rPr>
          <w:rFonts w:ascii="Times New Roman" w:hAnsi="Times New Roman"/>
          <w:sz w:val="20"/>
          <w:u w:val="single"/>
        </w:rPr>
        <w:t>Section 4(a)(ii)(B)</w:t>
      </w:r>
      <w:r>
        <w:rPr>
          <w:rFonts w:ascii="Times New Roman" w:hAnsi="Times New Roman"/>
          <w:sz w:val="20"/>
        </w:rPr>
        <w:t xml:space="preserve">), by means of a post-effective amendment, sticker or supplement, but not by means of incorporation of documents by reference into the Registration Statement or Prospectus; </w:t>
      </w:r>
    </w:p>
    <w:p>
      <w:pPr>
        <w:pStyle w:val="TextBody"/>
        <w:bidi w:val="0"/>
        <w:spacing w:before="240" w:after="0"/>
        <w:jc w:val="left"/>
        <w:rPr>
          <w:rFonts w:ascii="Times New Roman" w:hAnsi="Times New Roman"/>
          <w:sz w:val="20"/>
        </w:rPr>
      </w:pPr>
      <w:r>
        <w:rPr>
          <w:rFonts w:ascii="Times New Roman" w:hAnsi="Times New Roman"/>
          <w:sz w:val="20"/>
        </w:rPr>
        <w:t xml:space="preserve">(B) 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(C) 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 </w:t>
      </w:r>
    </w:p>
    <w:p>
      <w:pPr>
        <w:pStyle w:val="TextBody"/>
        <w:bidi w:val="0"/>
        <w:spacing w:before="240" w:after="0"/>
        <w:jc w:val="left"/>
        <w:rPr>
          <w:rFonts w:ascii="Times New Roman" w:hAnsi="Times New Roman"/>
          <w:sz w:val="20"/>
        </w:rPr>
      </w:pPr>
      <w:r>
        <w:rPr>
          <w:rFonts w:ascii="Times New Roman" w:hAnsi="Times New Roman"/>
          <w:sz w:val="20"/>
        </w:rPr>
        <w:t>(any such event, a “</w:t>
      </w:r>
      <w:r>
        <w:rPr>
          <w:rFonts w:ascii="Times New Roman" w:hAnsi="Times New Roman"/>
          <w:b/>
          <w:sz w:val="20"/>
        </w:rPr>
        <w:t>Triggering Event Date</w:t>
      </w:r>
      <w:r>
        <w:rPr>
          <w:rFonts w:ascii="Times New Roman" w:hAnsi="Times New Roman"/>
          <w:sz w:val="20"/>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 w:hAnsi="Times New Roman"/>
          <w:sz w:val="20"/>
          <w:u w:val="single"/>
        </w:rPr>
        <w:t>Section 5(a)(iii)</w:t>
      </w:r>
      <w:r>
        <w:rPr>
          <w:rFonts w:ascii="Times New Roman" w:hAnsi="Times New Roman"/>
          <w:sz w:val="20"/>
        </w:rPr>
        <w:t xml:space="preserve"> hereof, and (C) containing any other certification that the Agent shall reasonably request. The requirement to provide a certificate under this </w:t>
      </w:r>
      <w:r>
        <w:rPr>
          <w:rFonts w:ascii="Times New Roman" w:hAnsi="Times New Roman"/>
          <w:sz w:val="20"/>
          <w:u w:val="single"/>
        </w:rPr>
        <w:t>Section 4(p)</w:t>
      </w:r>
      <w:r>
        <w:rPr>
          <w:rFonts w:ascii="Times New Roman" w:hAnsi="Times New Roman"/>
          <w:sz w:val="20"/>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 under this </w:t>
      </w:r>
      <w:r>
        <w:rPr>
          <w:rFonts w:ascii="Times New Roman" w:hAnsi="Times New Roman"/>
          <w:sz w:val="20"/>
          <w:u w:val="single"/>
        </w:rPr>
        <w:t>Section 4(p)</w:t>
      </w:r>
      <w:r>
        <w:rPr>
          <w:rFonts w:ascii="Times New Roman" w:hAnsi="Times New Roman"/>
          <w:sz w:val="20"/>
        </w:rPr>
        <w:t xml:space="preserve">, then before the Company delivers the instructions for the sale of Shares or the Agent sells any Shares pursuant to such instructions, the Company shall provide the Agent with a certificate in conformity with this </w:t>
      </w:r>
      <w:r>
        <w:rPr>
          <w:rFonts w:ascii="Times New Roman" w:hAnsi="Times New Roman"/>
          <w:sz w:val="20"/>
          <w:u w:val="single"/>
        </w:rPr>
        <w:t>Section 4(p)</w:t>
      </w:r>
      <w:r>
        <w:rPr>
          <w:rFonts w:ascii="Times New Roman" w:hAnsi="Times New Roman"/>
          <w:sz w:val="20"/>
        </w:rPr>
        <w:t xml:space="preserve"> dated as of the date that the instructions for the sale of Shares are issued.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Legal Opinion</w:t>
      </w:r>
      <w:r>
        <w:rPr>
          <w:rFonts w:ascii="Times New Roman" w:hAnsi="Times New Roman"/>
          <w:sz w:val="20"/>
        </w:rPr>
        <w:t xml:space="preserve">. On or prior to the date of the first Issuance Notice and on or prior to each Triggering Event Date with respect to which the Company is obligated to deliver a certificate pursuant to </w:t>
      </w:r>
      <w:r>
        <w:rPr>
          <w:rFonts w:ascii="Times New Roman" w:hAnsi="Times New Roman"/>
          <w:sz w:val="20"/>
          <w:u w:val="single"/>
        </w:rPr>
        <w:t>Section 4(p)</w:t>
      </w:r>
      <w:r>
        <w:rPr>
          <w:rFonts w:ascii="Times New Roman" w:hAnsi="Times New Roman"/>
          <w:sz w:val="20"/>
        </w:rPr>
        <w:t xml:space="preserve"> for which no waiver is applicable and excluding the date of this Agreement, a negative assurances letter and the written legal opinion of Fenwick &amp; West LLP, or such other counsel reasonably satisfactory to the Agent, counsel to the Company, and Wolf, Greenfield &amp; Sacks, P.C., or such other counsel reasonably satisfactory to the Agent, intellectual property counsel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Comfort Letter</w:t>
      </w:r>
      <w:r>
        <w:rPr>
          <w:rFonts w:ascii="Times New Roman" w:hAnsi="Times New Roman"/>
          <w:sz w:val="20"/>
        </w:rPr>
        <w:t xml:space="preserve">. On or prior to the date of the first Issuance Notice and on or prior to each Triggering Event Date with respect to which the Company is obligated to deliver a certificate pursuant to </w:t>
      </w:r>
      <w:r>
        <w:rPr>
          <w:rFonts w:ascii="Times New Roman" w:hAnsi="Times New Roman"/>
          <w:sz w:val="20"/>
          <w:u w:val="single"/>
        </w:rPr>
        <w:t>Section 4(p)</w:t>
      </w:r>
      <w:r>
        <w:rPr>
          <w:rFonts w:ascii="Times New Roman" w:hAnsi="Times New Roman"/>
          <w:sz w:val="20"/>
        </w:rPr>
        <w:t xml:space="preserve"> for which no waiver is applicable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on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Secretary’s Certificate</w:t>
      </w:r>
      <w:r>
        <w:rPr>
          <w:rFonts w:ascii="Times New Roman" w:hAnsi="Times New Roman"/>
          <w:sz w:val="20"/>
        </w:rPr>
        <w:t xml:space="preserve">.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Agent’s Own Account; Clients’ Account</w:t>
      </w:r>
      <w:r>
        <w:rPr>
          <w:rFonts w:ascii="Times New Roman" w:hAnsi="Times New Roman"/>
          <w:sz w:val="20"/>
        </w:rPr>
        <w:t xml:space="preserve">. The Company consents to the Agent trading, in compliance with applicable law, in the Common Shares for the Agent’s own account and for the account of its clients at the same time as sales of the Shares occur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Investment Limitation</w:t>
      </w:r>
      <w:r>
        <w:rPr>
          <w:rFonts w:ascii="Times New Roman" w:hAnsi="Times New Roman"/>
          <w:sz w:val="20"/>
        </w:rPr>
        <w:t xml:space="preserve">. The Company shall not invest, or otherwise use the proceeds received by the Company from its sale of the Shares in such a manner as would require the Company or any of its subsidiaries to register as an investment company under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Market Activities</w:t>
      </w:r>
      <w:r>
        <w:rPr>
          <w:rFonts w:ascii="Times New Roman" w:hAnsi="Times New Roman"/>
          <w:sz w:val="20"/>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hAnsi="Times New Roman"/>
          <w:b/>
          <w:sz w:val="20"/>
        </w:rPr>
        <w:t>Rule 102</w:t>
      </w:r>
      <w:r>
        <w:rPr>
          <w:rFonts w:ascii="Times New Roman" w:hAnsi="Times New Roman"/>
          <w:sz w:val="20"/>
        </w:rPr>
        <w:t xml:space="preserve">”)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Notice of Other Sale</w:t>
      </w:r>
      <w:r>
        <w:rPr>
          <w:rFonts w:ascii="Times New Roman" w:hAnsi="Times New Roman"/>
          <w:sz w:val="20"/>
        </w:rPr>
        <w:t xml:space="preserve">.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and (iii) issuance or sale of Common Shares or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convertible into or exchangeable for Common Shares in connection with strategic transactions including joint ventures or strategic alliances, manufacturing, marketing, sponsored research, collaboration, license or distribution arrangements which are not issued primarily for capital raising purposes, (iv) issuance or sale of Common Shares or securities convertible into or exchangeable for Common Shares as consideration for mergers, acquisition, or other business combinations, occurring after the date of this Agreement which are not used for capital raising purposes, and (v) modification of any outstanding options, warrants of any rights to purchase or acquire Common Shares; provided that, in the case of immediately preceding clauses (iii) and (iv), the aggregate number of Common Shares or securities convertible into or exchangeable for Common Shares issued in connection with all such acquisitions and other transactions does not exceed 5% of the aggregate number of Common Shares outstanding immediately following the offering of Shares pursuant to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 CONDITIONS TO DELIVERY OF ISSUANCE NOTICES AND TO SETTLEMENT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Conditions Precedent to the Right of the Company to Deliver an Issuance Notice and the Obligation of the Agent to Sell Shares</w:t>
      </w:r>
      <w:r>
        <w:rPr>
          <w:rFonts w:ascii="Times New Roman" w:hAnsi="Times New Roman"/>
          <w:sz w:val="20"/>
        </w:rPr>
        <w:t xml:space="preserve">.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Accuracy of the Company’s Representations and Warranties; Performance by the Company</w:t>
      </w:r>
      <w:r>
        <w:rPr>
          <w:rFonts w:ascii="Times New Roman" w:hAnsi="Times New Roman"/>
          <w:sz w:val="20"/>
        </w:rPr>
        <w:t xml:space="preserve">. The Company shall have delivered the certificate required to be delivered pursuant to </w:t>
      </w:r>
      <w:r>
        <w:rPr>
          <w:rFonts w:ascii="Times New Roman" w:hAnsi="Times New Roman"/>
          <w:sz w:val="20"/>
          <w:u w:val="single"/>
        </w:rPr>
        <w:t>Section 4(p)</w:t>
      </w:r>
      <w:r>
        <w:rPr>
          <w:rFonts w:ascii="Times New Roman" w:hAnsi="Times New Roman"/>
          <w:sz w:val="20"/>
        </w:rPr>
        <w:t xml:space="preserve"> on or before the date on which delivery of such certificate is required pursuant to </w:t>
      </w:r>
      <w:r>
        <w:rPr>
          <w:rFonts w:ascii="Times New Roman" w:hAnsi="Times New Roman"/>
          <w:sz w:val="20"/>
          <w:u w:val="single"/>
        </w:rPr>
        <w:t>Section 4(p)</w:t>
      </w:r>
      <w:r>
        <w:rPr>
          <w:rFonts w:ascii="Times New Roman" w:hAnsi="Times New Roman"/>
          <w:sz w:val="20"/>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hAnsi="Times New Roman"/>
          <w:sz w:val="20"/>
          <w:u w:val="single"/>
        </w:rPr>
        <w:t>Section 4(q)</w:t>
      </w:r>
      <w:r>
        <w:rPr>
          <w:rFonts w:ascii="Times New Roman" w:hAnsi="Times New Roman"/>
          <w:sz w:val="20"/>
        </w:rPr>
        <w:t xml:space="preserve">, </w:t>
      </w:r>
      <w:r>
        <w:rPr>
          <w:rFonts w:ascii="Times New Roman" w:hAnsi="Times New Roman"/>
          <w:sz w:val="20"/>
          <w:u w:val="single"/>
        </w:rPr>
        <w:t>Section 4(r)</w:t>
      </w:r>
      <w:r>
        <w:rPr>
          <w:rFonts w:ascii="Times New Roman" w:hAnsi="Times New Roman"/>
          <w:sz w:val="20"/>
        </w:rPr>
        <w:t xml:space="preserve"> and </w:t>
      </w:r>
      <w:r>
        <w:rPr>
          <w:rFonts w:ascii="Times New Roman" w:hAnsi="Times New Roman"/>
          <w:sz w:val="20"/>
          <w:u w:val="single"/>
        </w:rPr>
        <w:t>Section 4(s)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No Injunction</w:t>
      </w:r>
      <w:r>
        <w:rPr>
          <w:rFonts w:ascii="Times New Roman" w:hAnsi="Times New Roman"/>
          <w:sz w:val="20"/>
        </w:rPr>
        <w:t xml:space="preserve">.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Material Adverse Changes</w:t>
      </w:r>
      <w:r>
        <w:rPr>
          <w:rFonts w:ascii="Times New Roman" w:hAnsi="Times New Roman"/>
          <w:sz w:val="20"/>
        </w:rPr>
        <w:t xml:space="preserve">.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No Suspension of Trading in or Delisting of Common Shares; Other Events</w:t>
      </w:r>
      <w:r>
        <w:rPr>
          <w:rFonts w:ascii="Times New Roman" w:hAnsi="Times New Roman"/>
          <w:sz w:val="20"/>
        </w:rPr>
        <w:t xml:space="preserve">.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Documents Required to be Delivered on each Issuance Notice Date</w:t>
      </w:r>
      <w:r>
        <w:rPr>
          <w:rFonts w:ascii="Times New Roman" w:hAnsi="Times New Roman"/>
          <w:sz w:val="20"/>
        </w:rPr>
        <w:t xml:space="preserve">.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Misstatement or Material Omission</w:t>
      </w:r>
      <w:r>
        <w:rPr>
          <w:rFonts w:ascii="Times New Roman" w:hAnsi="Times New Roman"/>
          <w:sz w:val="20"/>
        </w:rPr>
        <w:t xml:space="preserve">.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Agent Counsel Legal Opinion</w:t>
      </w:r>
      <w:r>
        <w:rPr>
          <w:rFonts w:ascii="Times New Roman" w:hAnsi="Times New Roman"/>
          <w:sz w:val="20"/>
        </w:rPr>
        <w:t xml:space="preserve">. Agent shall have received from Cooley LLP, counsel for Agent, such opinion or opinions, on or before the date on which the delivery of the Company counsel legal opinion is required pursuant to </w:t>
      </w:r>
      <w:r>
        <w:rPr>
          <w:rFonts w:ascii="Times New Roman" w:hAnsi="Times New Roman"/>
          <w:sz w:val="20"/>
          <w:u w:val="single"/>
        </w:rPr>
        <w:t>Section 4(q)</w:t>
      </w:r>
      <w:r>
        <w:rPr>
          <w:rFonts w:ascii="Times New Roman" w:hAnsi="Times New Roman"/>
          <w:sz w:val="20"/>
        </w:rPr>
        <w:t xml:space="preserve">, with respect to such matters as Agent may reasonably require, and the Company shall have furnished to such counsel such documents as they request for enabling them to pass upon such matters.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 INDEMNIFICATION AND CONTRIBUTION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Indemnification of the Agent</w:t>
      </w:r>
      <w:r>
        <w:rPr>
          <w:rFonts w:ascii="Times New Roman" w:hAnsi="Times New Roman"/>
          <w:sz w:val="20"/>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Times New Roman" w:hAnsi="Times New Roman"/>
          <w:sz w:val="20"/>
          <w:u w:val="single"/>
        </w:rPr>
        <w:t>Section 6(a)</w:t>
      </w:r>
      <w:r>
        <w:rPr>
          <w:rFonts w:ascii="Times New Roman" w:hAnsi="Times New Roman"/>
          <w:sz w:val="20"/>
        </w:rPr>
        <w:t xml:space="preserve"> shall be in addition to any liabilities that the Company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of the Company, its Directors and Officers</w:t>
      </w:r>
      <w:r>
        <w:rPr>
          <w:rFonts w:ascii="Times New Roman" w:hAnsi="Times New Roman"/>
          <w:sz w:val="20"/>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reasonable and documented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Times New Roman" w:hAnsi="Times New Roman"/>
          <w:sz w:val="20"/>
          <w:u w:val="single"/>
        </w:rPr>
        <w:t>Section 6(b)</w:t>
      </w:r>
      <w:r>
        <w:rPr>
          <w:rFonts w:ascii="Times New Roman" w:hAnsi="Times New Roman"/>
          <w:sz w:val="20"/>
        </w:rPr>
        <w:t xml:space="preserve"> shall be in addition to any liabilities that the Agent or the Company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Notifications and Other Indemnification Procedures</w:t>
      </w:r>
      <w:r>
        <w:rPr>
          <w:rFonts w:ascii="Times New Roman" w:hAnsi="Times New Roman"/>
          <w:sz w:val="20"/>
        </w:rPr>
        <w:t xml:space="preserve">. Promptly after receipt by an indemnified party under this </w:t>
      </w:r>
      <w:r>
        <w:rPr>
          <w:rFonts w:ascii="Times New Roman" w:hAnsi="Times New Roman"/>
          <w:sz w:val="20"/>
          <w:u w:val="single"/>
        </w:rPr>
        <w:t>Section 6</w:t>
      </w:r>
      <w:r>
        <w:rPr>
          <w:rFonts w:ascii="Times New Roman" w:hAnsi="Times New Roman"/>
          <w:sz w:val="20"/>
        </w:rPr>
        <w:t xml:space="preserve"> of notice of the commencement of any action, such indemnified party will, if a claim in respect thereof is to be made against an indemnifying party under this </w:t>
      </w:r>
      <w:r>
        <w:rPr>
          <w:rFonts w:ascii="Times New Roman" w:hAnsi="Times New Roman"/>
          <w:sz w:val="20"/>
          <w:u w:val="single"/>
        </w:rPr>
        <w:t>Section 6</w:t>
      </w:r>
      <w:r>
        <w:rPr>
          <w:rFonts w:ascii="Times New Roman" w:hAnsi="Times New Roman"/>
          <w:sz w:val="20"/>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Times New Roman" w:hAnsi="Times New Roman"/>
          <w:sz w:val="20"/>
          <w:u w:val="single"/>
        </w:rPr>
        <w:t>Section 6</w:t>
      </w:r>
      <w:r>
        <w:rPr>
          <w:rFonts w:ascii="Times New Roman" w:hAnsi="Times New Roman"/>
          <w:sz w:val="20"/>
        </w:rPr>
        <w:t xml:space="preserve"> or to the extent it is not materially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in consultation with counsel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one separate counsel (in addition to one local counsel in any applicable jurisdiction(s))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hAnsi="Times New Roman"/>
          <w:sz w:val="20"/>
          <w:u w:val="single"/>
        </w:rPr>
        <w:t>Section 6</w:t>
      </w:r>
      <w:r>
        <w:rPr>
          <w:rFonts w:ascii="Times New Roman" w:hAnsi="Times New Roman"/>
          <w:sz w:val="20"/>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Times New Roman" w:hAnsi="Times New Roman"/>
          <w:sz w:val="20"/>
          <w:u w:val="single"/>
        </w:rPr>
        <w:t>Section 6(a)</w:t>
      </w:r>
      <w:r>
        <w:rPr>
          <w:rFonts w:ascii="Times New Roman" w:hAnsi="Times New Roman"/>
          <w:sz w:val="20"/>
        </w:rPr>
        <w:t xml:space="preserve"> and </w:t>
      </w:r>
      <w:r>
        <w:rPr>
          <w:rFonts w:ascii="Times New Roman" w:hAnsi="Times New Roman"/>
          <w:sz w:val="20"/>
          <w:u w:val="single"/>
        </w:rPr>
        <w:t>Section 6(b)</w:t>
      </w:r>
      <w:r>
        <w:rPr>
          <w:rFonts w:ascii="Times New Roman" w:hAnsi="Times New Roman"/>
          <w:sz w:val="20"/>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Settlements</w:t>
      </w:r>
      <w:r>
        <w:rPr>
          <w:rFonts w:ascii="Times New Roman" w:hAnsi="Times New Roman"/>
          <w:sz w:val="20"/>
        </w:rPr>
        <w:t xml:space="preserve">. The indemnifying party under this </w:t>
      </w:r>
      <w:r>
        <w:rPr>
          <w:rFonts w:ascii="Times New Roman" w:hAnsi="Times New Roman"/>
          <w:sz w:val="20"/>
          <w:u w:val="single"/>
        </w:rPr>
        <w:t>Section 6</w:t>
      </w:r>
      <w:r>
        <w:rPr>
          <w:rFonts w:ascii="Times New Roman" w:hAnsi="Times New Roman"/>
          <w:sz w:val="20"/>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hAnsi="Times New Roman"/>
          <w:sz w:val="20"/>
          <w:u w:val="single"/>
        </w:rPr>
        <w:t>Section 6(c)</w:t>
      </w:r>
      <w:r>
        <w:rPr>
          <w:rFonts w:ascii="Times New Roman" w:hAnsi="Times New Roman"/>
          <w:sz w:val="20"/>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Contribution</w:t>
      </w:r>
      <w:r>
        <w:rPr>
          <w:rFonts w:ascii="Times New Roman" w:hAnsi="Times New Roman"/>
          <w:sz w:val="20"/>
        </w:rPr>
        <w:t xml:space="preserve">. If the indemnification provided for in this </w:t>
      </w:r>
      <w:r>
        <w:rPr>
          <w:rFonts w:ascii="Times New Roman" w:hAnsi="Times New Roman"/>
          <w:sz w:val="20"/>
          <w:u w:val="single"/>
        </w:rPr>
        <w:t>Section 6</w:t>
      </w:r>
      <w:r>
        <w:rPr>
          <w:rFonts w:ascii="Times New Roman" w:hAnsi="Times New Roman"/>
          <w:sz w:val="20"/>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Selling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amount paid or payable by a party as a result of the losses, claims, damages, liabilities and expenses referred to above shall be deemed to include, subject to the limitations set forth in </w:t>
      </w:r>
      <w:r>
        <w:rPr>
          <w:rFonts w:ascii="Times New Roman" w:hAnsi="Times New Roman"/>
          <w:sz w:val="20"/>
          <w:u w:val="single"/>
        </w:rPr>
        <w:t>Section 6(c)</w:t>
      </w:r>
      <w:r>
        <w:rPr>
          <w:rFonts w:ascii="Times New Roman" w:hAnsi="Times New Roman"/>
          <w:sz w:val="20"/>
        </w:rPr>
        <w:t xml:space="preserve">, any legal or other fees or expenses reasonably incurred by such party in connection with investigating or defending any action or claim. The provisions set forth in </w:t>
      </w:r>
      <w:r>
        <w:rPr>
          <w:rFonts w:ascii="Times New Roman" w:hAnsi="Times New Roman"/>
          <w:sz w:val="20"/>
          <w:u w:val="single"/>
        </w:rPr>
        <w:t>Section 6(c)</w:t>
      </w:r>
      <w:r>
        <w:rPr>
          <w:rFonts w:ascii="Times New Roman" w:hAnsi="Times New Roman"/>
          <w:sz w:val="20"/>
        </w:rPr>
        <w:t xml:space="preserve"> with respect to notice of commencement of any action shall apply if a claim for contribution is to be made under this </w:t>
      </w:r>
      <w:r>
        <w:rPr>
          <w:rFonts w:ascii="Times New Roman" w:hAnsi="Times New Roman"/>
          <w:sz w:val="20"/>
          <w:u w:val="single"/>
        </w:rPr>
        <w:t>Section 6(e)</w:t>
      </w:r>
      <w:r>
        <w:rPr>
          <w:rFonts w:ascii="Times New Roman" w:hAnsi="Times New Roman"/>
          <w:sz w:val="20"/>
        </w:rPr>
        <w:t xml:space="preserve">; provided, however, that no additional notice shall be required with respect to any action for which notice has been given under </w:t>
      </w:r>
      <w:r>
        <w:rPr>
          <w:rFonts w:ascii="Times New Roman" w:hAnsi="Times New Roman"/>
          <w:sz w:val="20"/>
          <w:u w:val="single"/>
        </w:rPr>
        <w:t>Section 6(c)</w:t>
      </w:r>
      <w:r>
        <w:rPr>
          <w:rFonts w:ascii="Times New Roman" w:hAnsi="Times New Roman"/>
          <w:sz w:val="20"/>
        </w:rPr>
        <w:t xml:space="preserve"> for purposes of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Agent agree that it would not be just and equitable if contribution pursuant to this </w:t>
      </w:r>
      <w:r>
        <w:rPr>
          <w:rFonts w:ascii="Times New Roman" w:hAnsi="Times New Roman"/>
          <w:sz w:val="20"/>
          <w:u w:val="single"/>
        </w:rPr>
        <w:t>Section 6(e)</w:t>
      </w:r>
      <w:r>
        <w:rPr>
          <w:rFonts w:ascii="Times New Roman" w:hAnsi="Times New Roman"/>
          <w:sz w:val="20"/>
        </w:rPr>
        <w:t xml:space="preserve"> were determined by pro rata allocation or by any other method of allocation which does not take account of the equitable considerations referred to in this </w:t>
      </w:r>
      <w:r>
        <w:rPr>
          <w:rFonts w:ascii="Times New Roman" w:hAnsi="Times New Roman"/>
          <w:sz w:val="20"/>
          <w:u w:val="single"/>
        </w:rPr>
        <w:t>Section 6(e)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w:t>
      </w:r>
      <w:r>
        <w:rPr>
          <w:rFonts w:ascii="Times New Roman" w:hAnsi="Times New Roman"/>
          <w:sz w:val="20"/>
          <w:u w:val="single"/>
        </w:rPr>
        <w:t>Section 6(e)</w:t>
      </w:r>
      <w:r>
        <w:rPr>
          <w:rFonts w:ascii="Times New Roman" w:hAnsi="Times New Roman"/>
          <w:sz w:val="20"/>
        </w:rPr>
        <w:t xml:space="preserv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hAnsi="Times New Roman"/>
          <w:sz w:val="20"/>
          <w:u w:val="single"/>
        </w:rPr>
        <w:t>Section 6(e)</w:t>
      </w:r>
      <w:r>
        <w:rPr>
          <w:rFonts w:ascii="Times New Roman" w:hAnsi="Times New Roman"/>
          <w:sz w:val="20"/>
        </w:rPr>
        <w:t xml:space="preserve">,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 TERMINATION &amp; SURVIVAL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w:t>
      </w:r>
      <w:r>
        <w:rPr>
          <w:rFonts w:ascii="Times New Roman" w:hAnsi="Times New Roman"/>
          <w:sz w:val="20"/>
        </w:rPr>
        <w:t xml:space="preserve">. Subject to the provisions of this </w:t>
      </w:r>
      <w:r>
        <w:rPr>
          <w:rFonts w:ascii="Times New Roman" w:hAnsi="Times New Roman"/>
          <w:sz w:val="20"/>
          <w:u w:val="single"/>
        </w:rPr>
        <w:t>Section 7</w:t>
      </w:r>
      <w:r>
        <w:rPr>
          <w:rFonts w:ascii="Times New Roman" w:hAnsi="Times New Roman"/>
          <w:sz w:val="20"/>
        </w:rPr>
        <w:t xml:space="preserve">, the term of this Agreement shall continue from the date of this Agreement until the end of the Agency Period, unless earlier terminated by the parties to this Agreement pursuant to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Survival Following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Times New Roman" w:hAnsi="Times New Roman"/>
          <w:sz w:val="20"/>
          <w:u w:val="single"/>
        </w:rPr>
        <w:t>Section 3(b)(v)</w:t>
      </w:r>
      <w:r>
        <w:rPr>
          <w:rFonts w:ascii="Times New Roman" w:hAnsi="Times New Roman"/>
          <w:sz w:val="20"/>
        </w:rPr>
        <w:t xml:space="preserve"> with respect to such Shares and (B)</w:t>
      </w:r>
      <w:r>
        <w:rPr>
          <w:rFonts w:ascii="Times New Roman" w:hAnsi="Times New Roman"/>
          <w:sz w:val="20"/>
          <w:u w:val="single"/>
        </w:rPr>
        <w:t> Section 2</w:t>
      </w:r>
      <w:r>
        <w:rPr>
          <w:rFonts w:ascii="Times New Roman" w:hAnsi="Times New Roman"/>
          <w:sz w:val="20"/>
        </w:rPr>
        <w:t xml:space="preserve">, </w:t>
      </w:r>
      <w:r>
        <w:rPr>
          <w:rFonts w:ascii="Times New Roman" w:hAnsi="Times New Roman"/>
          <w:sz w:val="20"/>
          <w:u w:val="single"/>
        </w:rPr>
        <w:t>Section 3(d)</w:t>
      </w:r>
      <w:r>
        <w:rPr>
          <w:rFonts w:ascii="Times New Roman" w:hAnsi="Times New Roman"/>
          <w:sz w:val="20"/>
        </w:rPr>
        <w:t xml:space="preserve">, </w:t>
      </w:r>
      <w:r>
        <w:rPr>
          <w:rFonts w:ascii="Times New Roman" w:hAnsi="Times New Roman"/>
          <w:sz w:val="20"/>
          <w:u w:val="single"/>
        </w:rPr>
        <w:t>Section 6</w:t>
      </w:r>
      <w:r>
        <w:rPr>
          <w:rFonts w:ascii="Times New Roman" w:hAnsi="Times New Roman"/>
          <w:sz w:val="20"/>
        </w:rPr>
        <w:t xml:space="preserve">, </w:t>
      </w:r>
      <w:r>
        <w:rPr>
          <w:rFonts w:ascii="Times New Roman" w:hAnsi="Times New Roman"/>
          <w:sz w:val="20"/>
          <w:u w:val="single"/>
        </w:rPr>
        <w:t>Section 7</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 shall survive termination of this Agreement. If termination shall occur prior to the Settlement Date for any sale of Shares, such sale shall nevertheless settle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 In addition to the survival provision of </w:t>
      </w:r>
      <w:r>
        <w:rPr>
          <w:rFonts w:ascii="Times New Roman" w:hAnsi="Times New Roman"/>
          <w:sz w:val="20"/>
          <w:u w:val="single"/>
        </w:rPr>
        <w:t>Section 7(b)(i)</w:t>
      </w:r>
      <w:r>
        <w:rPr>
          <w:rFonts w:ascii="Times New Roman" w:hAnsi="Times New Roman"/>
          <w:sz w:val="20"/>
        </w:rPr>
        <w:t xml:space="preserve">,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8. MISCELLANEOUS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Press Releases and Disclosure</w:t>
      </w:r>
      <w:r>
        <w:rPr>
          <w:rFonts w:ascii="Times New Roman" w:hAnsi="Times New Roman"/>
          <w:sz w:val="20"/>
        </w:rPr>
        <w:t xml:space="preserve">.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Advisory or Fiduciary Relationship</w:t>
      </w:r>
      <w:r>
        <w:rPr>
          <w:rFonts w:ascii="Times New Roman" w:hAnsi="Times New Roman"/>
          <w:sz w:val="20"/>
        </w:rPr>
        <w:t xml:space="preserve">.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Research Analyst Independence</w:t>
      </w:r>
      <w:r>
        <w:rPr>
          <w:rFonts w:ascii="Times New Roman" w:hAnsi="Times New Roman"/>
          <w:sz w:val="20"/>
        </w:rPr>
        <w:t xml:space="preserve">.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Notices</w:t>
      </w:r>
      <w:r>
        <w:rPr>
          <w:rFonts w:ascii="Times New Roman" w:hAnsi="Times New Roman"/>
          <w:sz w:val="20"/>
        </w:rPr>
        <w:t xml:space="preserve">. All communications hereunder shall be in writing and shall be mailed, hand delivered, sent via electronic mail (if applicable) or telecopied and confirmed to the parties hereto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the Agent: </w:t>
      </w:r>
    </w:p>
    <w:p>
      <w:pPr>
        <w:pStyle w:val="TextBody"/>
        <w:bidi w:val="0"/>
        <w:spacing w:before="12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Facsimile: (646) 786-5719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Daniel I. Goldberg, Esq. </w:t>
      </w:r>
    </w:p>
    <w:p>
      <w:pPr>
        <w:pStyle w:val="TextBody"/>
        <w:bidi w:val="0"/>
        <w:spacing w:before="0" w:after="0"/>
        <w:jc w:val="left"/>
        <w:rPr>
          <w:rFonts w:ascii="Times New Roman" w:hAnsi="Times New Roman"/>
          <w:sz w:val="20"/>
        </w:rPr>
      </w:pPr>
      <w:r>
        <w:rPr>
          <w:rFonts w:ascii="Times New Roman" w:hAnsi="Times New Roman"/>
          <w:sz w:val="20"/>
        </w:rPr>
        <w:t xml:space="preserve">Facsimile: (212) 479-6275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Aura Biosciences, Inc. </w:t>
      </w:r>
    </w:p>
    <w:p>
      <w:pPr>
        <w:pStyle w:val="TextBody"/>
        <w:bidi w:val="0"/>
        <w:spacing w:before="0" w:after="0"/>
        <w:jc w:val="left"/>
        <w:rPr>
          <w:rFonts w:ascii="Times New Roman" w:hAnsi="Times New Roman"/>
          <w:sz w:val="20"/>
        </w:rPr>
      </w:pPr>
      <w:r>
        <w:rPr>
          <w:rFonts w:ascii="Times New Roman" w:hAnsi="Times New Roman"/>
          <w:sz w:val="20"/>
        </w:rPr>
        <w:t xml:space="preserve">80 Guest Street, Boston, MA 02135 </w:t>
      </w:r>
    </w:p>
    <w:p>
      <w:pPr>
        <w:pStyle w:val="TextBody"/>
        <w:bidi w:val="0"/>
        <w:spacing w:before="0" w:after="0"/>
        <w:jc w:val="left"/>
        <w:rPr>
          <w:rFonts w:ascii="Times New Roman" w:hAnsi="Times New Roman"/>
          <w:sz w:val="20"/>
        </w:rPr>
      </w:pPr>
      <w:r>
        <w:rPr>
          <w:rFonts w:ascii="Times New Roman" w:hAnsi="Times New Roman"/>
          <w:sz w:val="20"/>
        </w:rPr>
        <w:t xml:space="preserve">Attention: Natalie Holles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Fenwick &amp; West LLP </w:t>
      </w:r>
    </w:p>
    <w:p>
      <w:pPr>
        <w:pStyle w:val="TextBody"/>
        <w:bidi w:val="0"/>
        <w:spacing w:before="0" w:after="0"/>
        <w:jc w:val="left"/>
        <w:rPr>
          <w:rFonts w:ascii="Times New Roman" w:hAnsi="Times New Roman"/>
          <w:sz w:val="20"/>
        </w:rPr>
      </w:pPr>
      <w:r>
        <w:rPr>
          <w:rFonts w:ascii="Times New Roman" w:hAnsi="Times New Roman"/>
          <w:sz w:val="20"/>
        </w:rPr>
        <w:t xml:space="preserve">401 Union St, Fl 5 </w:t>
      </w:r>
    </w:p>
    <w:p>
      <w:pPr>
        <w:pStyle w:val="TextBody"/>
        <w:bidi w:val="0"/>
        <w:spacing w:before="0" w:after="0"/>
        <w:jc w:val="left"/>
        <w:rPr>
          <w:rFonts w:ascii="Times New Roman" w:hAnsi="Times New Roman"/>
          <w:sz w:val="20"/>
        </w:rPr>
      </w:pPr>
      <w:r>
        <w:rPr>
          <w:rFonts w:ascii="Times New Roman" w:hAnsi="Times New Roman"/>
          <w:sz w:val="20"/>
        </w:rPr>
        <w:t xml:space="preserve">Seattle, WA 98101 </w:t>
      </w:r>
    </w:p>
    <w:p>
      <w:pPr>
        <w:pStyle w:val="TextBody"/>
        <w:bidi w:val="0"/>
        <w:spacing w:before="0" w:after="0"/>
        <w:jc w:val="left"/>
        <w:rPr>
          <w:rFonts w:ascii="Times New Roman" w:hAnsi="Times New Roman"/>
          <w:sz w:val="20"/>
        </w:rPr>
      </w:pPr>
      <w:r>
        <w:rPr>
          <w:rFonts w:ascii="Times New Roman" w:hAnsi="Times New Roman"/>
          <w:sz w:val="20"/>
        </w:rPr>
        <w:t xml:space="preserve">Attention: Ryan Mitteness </w:t>
      </w:r>
    </w:p>
    <w:p>
      <w:pPr>
        <w:pStyle w:val="TextBody"/>
        <w:bidi w:val="0"/>
        <w:spacing w:before="0" w:after="0"/>
        <w:jc w:val="left"/>
        <w:rPr>
          <w:rFonts w:ascii="Times New Roman" w:hAnsi="Times New Roman"/>
          <w:sz w:val="20"/>
        </w:rPr>
      </w:pPr>
      <w:r>
        <w:rPr>
          <w:rFonts w:ascii="Times New Roman" w:hAnsi="Times New Roman"/>
          <w:sz w:val="20"/>
        </w:rPr>
        <w:t xml:space="preserve">Facsimile: (206) 389-4533 </w:t>
      </w:r>
    </w:p>
    <w:p>
      <w:pPr>
        <w:pStyle w:val="TextBody"/>
        <w:bidi w:val="0"/>
        <w:spacing w:before="240" w:after="0"/>
        <w:jc w:val="left"/>
        <w:rPr>
          <w:rFonts w:ascii="Times New Roman" w:hAnsi="Times New Roman"/>
          <w:sz w:val="20"/>
        </w:rPr>
      </w:pPr>
      <w:r>
        <w:rPr>
          <w:rFonts w:ascii="Times New Roman" w:hAnsi="Times New Roman"/>
          <w:sz w:val="20"/>
        </w:rPr>
        <w:t xml:space="preserve">Any party hereto may change the address for receipt of communications by giving written notice to the others in accordance with this </w:t>
      </w:r>
      <w:r>
        <w:rPr>
          <w:rFonts w:ascii="Times New Roman" w:hAnsi="Times New Roman"/>
          <w:sz w:val="20"/>
          <w:u w:val="single"/>
        </w:rPr>
        <w:t>Section 8(d)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Successors</w:t>
      </w:r>
      <w:r>
        <w:rPr>
          <w:rFonts w:ascii="Times New Roman" w:hAnsi="Times New Roman"/>
          <w:sz w:val="20"/>
        </w:rPr>
        <w:t xml:space="preserve">. This Agreement will inure to the benefit of and be binding upon the parties hereto, and to the benefit of the employees, officers and directors and controlling persons referred to in </w:t>
      </w:r>
      <w:r>
        <w:rPr>
          <w:rFonts w:ascii="Times New Roman" w:hAnsi="Times New Roman"/>
          <w:sz w:val="20"/>
          <w:u w:val="single"/>
        </w:rPr>
        <w:t>Section 6</w:t>
      </w:r>
      <w:r>
        <w:rPr>
          <w:rFonts w:ascii="Times New Roman" w:hAnsi="Times New Roman"/>
          <w:sz w:val="20"/>
        </w:rPr>
        <w:t xml:space="preserve">, and in each case their respective successors, and no other person will have any right or obligation hereunder. The term “successors” shall not include any purchaser of the Shares as such from the Agent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Partial Unenforceability</w:t>
      </w:r>
      <w:r>
        <w:rPr>
          <w:rFonts w:ascii="Times New Roman" w:hAnsi="Times New Roman"/>
          <w:sz w:val="20"/>
        </w:rPr>
        <w:t xml:space="preserve">.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Governing Law Provisions</w:t>
      </w:r>
      <w:r>
        <w:rPr>
          <w:rFonts w:ascii="Times New Roman" w:hAnsi="Times New Roman"/>
          <w:sz w:val="20"/>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hAnsi="Times New Roman"/>
          <w:b/>
          <w:sz w:val="20"/>
        </w:rPr>
        <w:t>Specified Courts</w:t>
      </w:r>
      <w:r>
        <w:rPr>
          <w:rFonts w:ascii="Times New Roman" w:hAnsi="Times New Roman"/>
          <w:sz w:val="20"/>
        </w:rPr>
        <w:t xml:space="preserve">”),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General Provisions</w:t>
      </w:r>
      <w:r>
        <w:rPr>
          <w:rFonts w:ascii="Times New Roman" w:hAnsi="Times New Roman"/>
          <w:sz w:val="20"/>
        </w:rPr>
        <w:t xml:space="preserve">. This Agreement constitutes the entire agreement of the parties to this Agreement and supersedes all prior written or oral and all contemporaneous oral agreements, understandings and negotiations with respect to the subject matter hereof. The Agent and the Company agree that concurrently with the execution of this Agreement, their Sales Agreement entered into on November 1, 2022, is terminated in accordance with Section 7(b) of such Agreement.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Immediately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kindly sign and return to the Company the enclosed copies hereof, whereupon this instrument, along with all counterparts hereof, shall become a binding agreement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AURA BIOSCIENCES,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Natalie Holles</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Name: Natalie Holles</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Title: Chief Executive Officer and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confirmed and accepted by the Agent in New York, New York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JEFFERIES LLC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Magarro</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Name: Michael Magarro</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Managing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ISSUANCE NOTICE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Attn: [__________] </w:t>
      </w:r>
    </w:p>
    <w:p>
      <w:pPr>
        <w:pStyle w:val="TextBody"/>
        <w:bidi w:val="0"/>
        <w:spacing w:before="240" w:after="0"/>
        <w:jc w:val="left"/>
        <w:rPr>
          <w:rFonts w:ascii="Times New Roman" w:hAnsi="Times New Roman"/>
          <w:sz w:val="20"/>
        </w:rPr>
      </w:pPr>
      <w:r>
        <w:rPr>
          <w:rFonts w:ascii="Times New Roman" w:hAnsi="Times New Roman"/>
          <w:sz w:val="20"/>
        </w:rPr>
        <w:t>Reference is made to the Open Market Sale AgreementSM between Aura Biosciences, Inc., a Delaware Corporation (the “</w:t>
      </w:r>
      <w:r>
        <w:rPr>
          <w:rFonts w:ascii="Times New Roman" w:hAnsi="Times New Roman"/>
          <w:b/>
          <w:sz w:val="20"/>
        </w:rPr>
        <w:t>Company</w:t>
      </w:r>
      <w:r>
        <w:rPr>
          <w:rFonts w:ascii="Times New Roman" w:hAnsi="Times New Roman"/>
          <w:sz w:val="20"/>
        </w:rPr>
        <w:t>”) and Jefferies LLC (the “</w:t>
      </w:r>
      <w:r>
        <w:rPr>
          <w:rFonts w:ascii="Times New Roman" w:hAnsi="Times New Roman"/>
          <w:b/>
          <w:sz w:val="20"/>
        </w:rPr>
        <w:t>Agent</w:t>
      </w:r>
      <w:r>
        <w:rPr>
          <w:rFonts w:ascii="Times New Roman" w:hAnsi="Times New Roman"/>
          <w:sz w:val="20"/>
        </w:rPr>
        <w:t xml:space="preserve">”) dated as of August 11, 2026. The Company confirms that all conditions to the delivery of this Issuance Notice are satisfied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Last Day to Use/Extend the Base Registration Statement: [], 202[ ] </w:t>
      </w:r>
    </w:p>
    <w:p>
      <w:pPr>
        <w:pStyle w:val="TextBody"/>
        <w:bidi w:val="0"/>
        <w:spacing w:before="240" w:after="0"/>
        <w:jc w:val="left"/>
        <w:rPr>
          <w:rFonts w:ascii="Times New Roman" w:hAnsi="Times New Roman"/>
          <w:sz w:val="20"/>
        </w:rPr>
      </w:pPr>
      <w:r>
        <w:rPr>
          <w:rFonts w:ascii="Times New Roman" w:hAnsi="Times New Roman"/>
          <w:sz w:val="20"/>
        </w:rPr>
        <w:t xml:space="preserve">Date of Delivery of Issuance Notice (determined pursuant to </w:t>
      </w:r>
      <w:r>
        <w:rPr>
          <w:rFonts w:ascii="Times New Roman" w:hAnsi="Times New Roman"/>
          <w:sz w:val="20"/>
          <w:u w:val="single"/>
        </w:rPr>
        <w:t>Section 3(b)(i)</w:t>
      </w: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58"/>
        <w:gridCol w:w="128"/>
        <w:gridCol w:w="5619"/>
      </w:tblGrid>
      <w:tr>
        <w:trPr/>
        <w:tc>
          <w:tcPr>
            <w:tcW w:w="445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561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Issuance Amount (equal to the total Sales Price for such Shares):</w:t>
            </w:r>
          </w:p>
        </w:tc>
      </w:tr>
      <w:tr>
        <w:trPr>
          <w:trHeight w:val="120" w:hRule="atLeast"/>
        </w:trPr>
        <w:tc>
          <w:tcPr>
            <w:tcW w:w="4458" w:type="dxa"/>
            <w:tcBorders/>
            <w:vAlign w:val="center"/>
          </w:tcPr>
          <w:p>
            <w:pPr>
              <w:pStyle w:val="TableContents"/>
              <w:bidi w:val="0"/>
              <w:spacing w:before="0" w:after="283"/>
              <w:jc w:val="left"/>
              <w:rPr>
                <w:sz w:val="4"/>
                <w:szCs w:val="4"/>
              </w:rPr>
            </w:pPr>
            <w:r>
              <w:rPr>
                <w:sz w:val="4"/>
                <w:szCs w:val="4"/>
              </w:rPr>
            </w:r>
          </w:p>
        </w:tc>
        <w:tc>
          <w:tcPr>
            <w:tcW w:w="5747" w:type="dxa"/>
            <w:gridSpan w:val="2"/>
            <w:tcBorders/>
            <w:vAlign w:val="center"/>
          </w:tcPr>
          <w:p>
            <w:pPr>
              <w:pStyle w:val="TableContents"/>
              <w:bidi w:val="0"/>
              <w:spacing w:before="0" w:after="283"/>
              <w:jc w:val="left"/>
              <w:rPr>
                <w:sz w:val="4"/>
                <w:szCs w:val="4"/>
              </w:rPr>
            </w:pPr>
            <w:r>
              <w:rPr>
                <w:sz w:val="4"/>
                <w:szCs w:val="4"/>
              </w:rPr>
            </w:r>
          </w:p>
        </w:tc>
      </w:tr>
      <w:tr>
        <w:trPr/>
        <w:tc>
          <w:tcPr>
            <w:tcW w:w="4458"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5619" w:type="dxa"/>
            <w:tcBorders/>
          </w:tcPr>
          <w:p>
            <w:pPr>
              <w:pStyle w:val="TableContents"/>
              <w:bidi w:val="0"/>
              <w:spacing w:before="0" w:after="283"/>
              <w:jc w:val="left"/>
              <w:rPr/>
            </w:pPr>
            <w:r>
              <w:rPr/>
              <w:t>$</w:t>
            </w:r>
            <w:r>
              <w:rPr>
                <w:u w:val="single"/>
              </w:rPr>
              <w:t xml:space="preserve">                                         </w:t>
            </w:r>
          </w:p>
        </w:tc>
      </w:tr>
      <w:tr>
        <w:trPr>
          <w:trHeight w:val="120" w:hRule="atLeast"/>
        </w:trPr>
        <w:tc>
          <w:tcPr>
            <w:tcW w:w="4458" w:type="dxa"/>
            <w:tcBorders/>
            <w:vAlign w:val="center"/>
          </w:tcPr>
          <w:p>
            <w:pPr>
              <w:pStyle w:val="TableContents"/>
              <w:bidi w:val="0"/>
              <w:spacing w:before="0" w:after="283"/>
              <w:jc w:val="left"/>
              <w:rPr>
                <w:sz w:val="4"/>
                <w:szCs w:val="4"/>
              </w:rPr>
            </w:pPr>
            <w:r>
              <w:rPr>
                <w:sz w:val="4"/>
                <w:szCs w:val="4"/>
              </w:rPr>
            </w:r>
          </w:p>
        </w:tc>
        <w:tc>
          <w:tcPr>
            <w:tcW w:w="5747" w:type="dxa"/>
            <w:gridSpan w:val="2"/>
            <w:tcBorders/>
            <w:vAlign w:val="center"/>
          </w:tcPr>
          <w:p>
            <w:pPr>
              <w:pStyle w:val="TableContents"/>
              <w:bidi w:val="0"/>
              <w:spacing w:before="0" w:after="283"/>
              <w:jc w:val="left"/>
              <w:rPr>
                <w:sz w:val="4"/>
                <w:szCs w:val="4"/>
              </w:rPr>
            </w:pPr>
            <w:r>
              <w:rPr>
                <w:sz w:val="4"/>
                <w:szCs w:val="4"/>
              </w:rPr>
            </w:r>
          </w:p>
        </w:tc>
      </w:tr>
      <w:tr>
        <w:trPr/>
        <w:tc>
          <w:tcPr>
            <w:tcW w:w="4458" w:type="dxa"/>
            <w:tcBorders/>
          </w:tcPr>
          <w:p>
            <w:pPr>
              <w:pStyle w:val="TableContents"/>
              <w:bidi w:val="0"/>
              <w:spacing w:before="0" w:after="283"/>
              <w:jc w:val="left"/>
              <w:rPr/>
            </w:pPr>
            <w:r>
              <w:rPr/>
              <w:t>Number of days in selling period:</w:t>
            </w:r>
          </w:p>
        </w:tc>
        <w:tc>
          <w:tcPr>
            <w:tcW w:w="128" w:type="dxa"/>
            <w:tcBorders/>
            <w:vAlign w:val="bottom"/>
          </w:tcPr>
          <w:p>
            <w:pPr>
              <w:pStyle w:val="TableContents"/>
              <w:bidi w:val="0"/>
              <w:spacing w:before="0" w:after="283"/>
              <w:jc w:val="left"/>
              <w:rPr/>
            </w:pPr>
            <w:r>
              <w:rPr/>
              <w:t>  </w:t>
            </w:r>
          </w:p>
        </w:tc>
        <w:tc>
          <w:tcPr>
            <w:tcW w:w="5619" w:type="dxa"/>
            <w:tcBorders/>
          </w:tcPr>
          <w:p>
            <w:pPr>
              <w:pStyle w:val="TableContents"/>
              <w:pBdr>
                <w:bottom w:val="single" w:sz="2" w:space="1" w:color="000000"/>
              </w:pBdr>
              <w:bidi w:val="0"/>
              <w:spacing w:before="0" w:after="20"/>
              <w:jc w:val="left"/>
              <w:rPr/>
            </w:pPr>
            <w:r>
              <w:rPr/>
              <w:t> </w:t>
            </w:r>
          </w:p>
        </w:tc>
      </w:tr>
      <w:tr>
        <w:trPr>
          <w:trHeight w:val="120" w:hRule="atLeast"/>
        </w:trPr>
        <w:tc>
          <w:tcPr>
            <w:tcW w:w="4458" w:type="dxa"/>
            <w:tcBorders/>
            <w:vAlign w:val="center"/>
          </w:tcPr>
          <w:p>
            <w:pPr>
              <w:pStyle w:val="TableContents"/>
              <w:bidi w:val="0"/>
              <w:spacing w:before="0" w:after="283"/>
              <w:jc w:val="left"/>
              <w:rPr>
                <w:sz w:val="4"/>
                <w:szCs w:val="4"/>
              </w:rPr>
            </w:pPr>
            <w:r>
              <w:rPr>
                <w:sz w:val="4"/>
                <w:szCs w:val="4"/>
              </w:rPr>
            </w:r>
          </w:p>
        </w:tc>
        <w:tc>
          <w:tcPr>
            <w:tcW w:w="5747" w:type="dxa"/>
            <w:gridSpan w:val="2"/>
            <w:tcBorders/>
            <w:vAlign w:val="center"/>
          </w:tcPr>
          <w:p>
            <w:pPr>
              <w:pStyle w:val="TableContents"/>
              <w:bidi w:val="0"/>
              <w:spacing w:before="0" w:after="283"/>
              <w:jc w:val="left"/>
              <w:rPr>
                <w:sz w:val="4"/>
                <w:szCs w:val="4"/>
              </w:rPr>
            </w:pPr>
            <w:r>
              <w:rPr>
                <w:sz w:val="4"/>
                <w:szCs w:val="4"/>
              </w:rPr>
            </w:r>
          </w:p>
        </w:tc>
      </w:tr>
      <w:tr>
        <w:trPr/>
        <w:tc>
          <w:tcPr>
            <w:tcW w:w="4458" w:type="dxa"/>
            <w:tcBorders/>
          </w:tcPr>
          <w:p>
            <w:pPr>
              <w:pStyle w:val="TableContents"/>
              <w:bidi w:val="0"/>
              <w:spacing w:before="0" w:after="283"/>
              <w:jc w:val="left"/>
              <w:rPr/>
            </w:pPr>
            <w:r>
              <w:rPr/>
              <w:t>First date of selling period:</w:t>
            </w:r>
          </w:p>
        </w:tc>
        <w:tc>
          <w:tcPr>
            <w:tcW w:w="128" w:type="dxa"/>
            <w:tcBorders/>
            <w:vAlign w:val="bottom"/>
          </w:tcPr>
          <w:p>
            <w:pPr>
              <w:pStyle w:val="TableContents"/>
              <w:bidi w:val="0"/>
              <w:spacing w:before="0" w:after="283"/>
              <w:jc w:val="left"/>
              <w:rPr/>
            </w:pPr>
            <w:r>
              <w:rPr/>
              <w:t>  </w:t>
            </w:r>
          </w:p>
        </w:tc>
        <w:tc>
          <w:tcPr>
            <w:tcW w:w="5619" w:type="dxa"/>
            <w:tcBorders/>
          </w:tcPr>
          <w:p>
            <w:pPr>
              <w:pStyle w:val="TableContents"/>
              <w:pBdr>
                <w:bottom w:val="single" w:sz="2" w:space="1" w:color="000000"/>
              </w:pBdr>
              <w:bidi w:val="0"/>
              <w:spacing w:before="0" w:after="20"/>
              <w:jc w:val="left"/>
              <w:rPr/>
            </w:pPr>
            <w:r>
              <w:rPr/>
              <w:t> </w:t>
            </w:r>
          </w:p>
        </w:tc>
      </w:tr>
      <w:tr>
        <w:trPr>
          <w:trHeight w:val="120" w:hRule="atLeast"/>
        </w:trPr>
        <w:tc>
          <w:tcPr>
            <w:tcW w:w="4458" w:type="dxa"/>
            <w:tcBorders/>
            <w:vAlign w:val="center"/>
          </w:tcPr>
          <w:p>
            <w:pPr>
              <w:pStyle w:val="TableContents"/>
              <w:bidi w:val="0"/>
              <w:spacing w:before="0" w:after="283"/>
              <w:jc w:val="left"/>
              <w:rPr>
                <w:sz w:val="4"/>
                <w:szCs w:val="4"/>
              </w:rPr>
            </w:pPr>
            <w:r>
              <w:rPr>
                <w:sz w:val="4"/>
                <w:szCs w:val="4"/>
              </w:rPr>
            </w:r>
          </w:p>
        </w:tc>
        <w:tc>
          <w:tcPr>
            <w:tcW w:w="5747" w:type="dxa"/>
            <w:gridSpan w:val="2"/>
            <w:tcBorders/>
            <w:vAlign w:val="center"/>
          </w:tcPr>
          <w:p>
            <w:pPr>
              <w:pStyle w:val="TableContents"/>
              <w:bidi w:val="0"/>
              <w:spacing w:before="0" w:after="283"/>
              <w:jc w:val="left"/>
              <w:rPr>
                <w:sz w:val="4"/>
                <w:szCs w:val="4"/>
              </w:rPr>
            </w:pPr>
            <w:r>
              <w:rPr>
                <w:sz w:val="4"/>
                <w:szCs w:val="4"/>
              </w:rPr>
            </w:r>
          </w:p>
        </w:tc>
      </w:tr>
      <w:tr>
        <w:trPr/>
        <w:tc>
          <w:tcPr>
            <w:tcW w:w="4458" w:type="dxa"/>
            <w:tcBorders/>
          </w:tcPr>
          <w:p>
            <w:pPr>
              <w:pStyle w:val="TableContents"/>
              <w:bidi w:val="0"/>
              <w:spacing w:before="0" w:after="283"/>
              <w:jc w:val="left"/>
              <w:rPr/>
            </w:pPr>
            <w:r>
              <w:rPr/>
              <w:t>Last date of selling period:</w:t>
            </w:r>
          </w:p>
        </w:tc>
        <w:tc>
          <w:tcPr>
            <w:tcW w:w="128" w:type="dxa"/>
            <w:tcBorders/>
            <w:vAlign w:val="bottom"/>
          </w:tcPr>
          <w:p>
            <w:pPr>
              <w:pStyle w:val="TableContents"/>
              <w:bidi w:val="0"/>
              <w:spacing w:before="0" w:after="283"/>
              <w:jc w:val="left"/>
              <w:rPr/>
            </w:pPr>
            <w:r>
              <w:rPr/>
              <w:t>  </w:t>
            </w:r>
          </w:p>
        </w:tc>
        <w:tc>
          <w:tcPr>
            <w:tcW w:w="5619" w:type="dxa"/>
            <w:tcBorders/>
          </w:tcPr>
          <w:p>
            <w:pPr>
              <w:pStyle w:val="TableContents"/>
              <w:pBdr>
                <w:bottom w:val="single" w:sz="2" w:space="1" w:color="000000"/>
              </w:pBdr>
              <w:bidi w:val="0"/>
              <w:spacing w:before="0" w:after="20"/>
              <w:jc w:val="left"/>
              <w:rPr/>
            </w:pPr>
            <w:r>
              <w:rPr/>
              <w:t> </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Settlement Date(s) if other than standard T+1 settlement:</w:t>
            </w:r>
          </w:p>
        </w:tc>
      </w:tr>
      <w:tr>
        <w:trPr>
          <w:trHeight w:val="120" w:hRule="atLeast"/>
        </w:trPr>
        <w:tc>
          <w:tcPr>
            <w:tcW w:w="4458" w:type="dxa"/>
            <w:tcBorders/>
            <w:vAlign w:val="center"/>
          </w:tcPr>
          <w:p>
            <w:pPr>
              <w:pStyle w:val="TableContents"/>
              <w:bidi w:val="0"/>
              <w:spacing w:before="0" w:after="283"/>
              <w:jc w:val="left"/>
              <w:rPr>
                <w:sz w:val="4"/>
                <w:szCs w:val="4"/>
              </w:rPr>
            </w:pPr>
            <w:r>
              <w:rPr>
                <w:sz w:val="4"/>
                <w:szCs w:val="4"/>
              </w:rPr>
            </w:r>
          </w:p>
        </w:tc>
        <w:tc>
          <w:tcPr>
            <w:tcW w:w="5747" w:type="dxa"/>
            <w:gridSpan w:val="2"/>
            <w:tcBorders/>
            <w:vAlign w:val="center"/>
          </w:tcPr>
          <w:p>
            <w:pPr>
              <w:pStyle w:val="TableContents"/>
              <w:bidi w:val="0"/>
              <w:spacing w:before="0" w:after="283"/>
              <w:jc w:val="left"/>
              <w:rPr>
                <w:sz w:val="4"/>
                <w:szCs w:val="4"/>
              </w:rPr>
            </w:pPr>
            <w:r>
              <w:rPr>
                <w:sz w:val="4"/>
                <w:szCs w:val="4"/>
              </w:rPr>
            </w:r>
          </w:p>
        </w:tc>
      </w:tr>
      <w:tr>
        <w:trPr/>
        <w:tc>
          <w:tcPr>
            <w:tcW w:w="4458"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5619"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Floor Price Limitation (in no event less than $1.00 without the prior written consent of the Agent, which consent may be withheld in the Agent’s sole discretion): $ ____ per share </w:t>
      </w:r>
    </w:p>
    <w:p>
      <w:pPr>
        <w:pStyle w:val="TextBody"/>
        <w:bidi w:val="0"/>
        <w:spacing w:before="240" w:after="0"/>
        <w:jc w:val="left"/>
        <w:rPr>
          <w:rFonts w:ascii="Times New Roman" w:hAnsi="Times New Roman"/>
          <w:sz w:val="20"/>
        </w:rPr>
      </w:pPr>
      <w:r>
        <w:rPr>
          <w:rFonts w:ascii="Times New Roman" w:hAnsi="Times New Roman"/>
          <w:sz w:val="20"/>
        </w:rPr>
        <w:t xml:space="preserve">Comments: </w:t>
      </w:r>
      <w:r>
        <w:rPr>
          <w:rFonts w:ascii="Times New Roman" w:hAnsi="Times New Roman"/>
          <w:sz w:val="20"/>
          <w:u w:val="single"/>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Parties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The Company </w:t>
      </w:r>
    </w:p>
    <w:p>
      <w:pPr>
        <w:pStyle w:val="TextBody"/>
        <w:bidi w:val="0"/>
        <w:spacing w:before="120" w:after="0"/>
        <w:jc w:val="left"/>
        <w:rPr>
          <w:rFonts w:ascii="Times New Roman" w:hAnsi="Times New Roman"/>
          <w:sz w:val="20"/>
        </w:rPr>
      </w:pPr>
      <w:r>
        <w:rPr>
          <w:rFonts w:ascii="Times New Roman" w:hAnsi="Times New Roman"/>
          <w:sz w:val="20"/>
        </w:rPr>
        <w:t xml:space="preserve">Natalie Holles </w:t>
      </w:r>
    </w:p>
    <w:p>
      <w:pPr>
        <w:pStyle w:val="TextBody"/>
        <w:bidi w:val="0"/>
        <w:spacing w:before="120" w:after="0"/>
        <w:jc w:val="left"/>
        <w:rPr>
          <w:rFonts w:ascii="Times New Roman" w:hAnsi="Times New Roman"/>
          <w:sz w:val="20"/>
        </w:rPr>
      </w:pPr>
      <w:r>
        <w:rPr>
          <w:rFonts w:ascii="Times New Roman" w:hAnsi="Times New Roman"/>
          <w:sz w:val="20"/>
        </w:rPr>
        <w:t xml:space="preserve">Amy Elazzouzi </w:t>
      </w:r>
    </w:p>
    <w:p>
      <w:pPr>
        <w:pStyle w:val="TextBody"/>
        <w:bidi w:val="0"/>
        <w:spacing w:before="120" w:after="0"/>
        <w:jc w:val="left"/>
        <w:rPr>
          <w:rFonts w:ascii="Times New Roman" w:hAnsi="Times New Roman"/>
          <w:sz w:val="20"/>
        </w:rPr>
      </w:pPr>
      <w:r>
        <w:rPr>
          <w:rFonts w:ascii="Times New Roman" w:hAnsi="Times New Roman"/>
          <w:sz w:val="20"/>
        </w:rPr>
        <w:t xml:space="preserve">Anthony Gibney </w:t>
      </w:r>
    </w:p>
    <w:p>
      <w:pPr>
        <w:pStyle w:val="TextBody"/>
        <w:bidi w:val="0"/>
        <w:spacing w:before="120" w:after="0"/>
        <w:jc w:val="left"/>
        <w:rPr>
          <w:rFonts w:ascii="Times New Roman" w:hAnsi="Times New Roman"/>
          <w:sz w:val="20"/>
        </w:rPr>
      </w:pPr>
      <w:r>
        <w:rPr>
          <w:rFonts w:ascii="Times New Roman" w:hAnsi="Times New Roman"/>
          <w:sz w:val="20"/>
        </w:rPr>
        <w:t xml:space="preserve">Conor Kilroy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The Agent </w:t>
      </w:r>
    </w:p>
    <w:p>
      <w:pPr>
        <w:pStyle w:val="TextBody"/>
        <w:bidi w:val="0"/>
        <w:spacing w:before="120" w:after="0"/>
        <w:jc w:val="left"/>
        <w:rPr>
          <w:rFonts w:ascii="Times New Roman" w:hAnsi="Times New Roman"/>
          <w:sz w:val="20"/>
        </w:rPr>
      </w:pPr>
      <w:r>
        <w:rPr>
          <w:rFonts w:ascii="Times New Roman" w:hAnsi="Times New Roman"/>
          <w:sz w:val="20"/>
        </w:rPr>
        <w:t xml:space="preserve">Michael Magarro </w:t>
      </w:r>
    </w:p>
    <w:p>
      <w:pPr>
        <w:pStyle w:val="TextBody"/>
        <w:bidi w:val="0"/>
        <w:spacing w:before="120" w:after="0"/>
        <w:jc w:val="left"/>
        <w:rPr>
          <w:rFonts w:ascii="Times New Roman" w:hAnsi="Times New Roman"/>
          <w:sz w:val="20"/>
        </w:rPr>
      </w:pPr>
      <w:r>
        <w:rPr>
          <w:rFonts w:ascii="Times New Roman" w:hAnsi="Times New Roman"/>
          <w:sz w:val="20"/>
        </w:rPr>
        <w:t xml:space="preserve">Donald Lynaugh </w:t>
      </w:r>
    </w:p>
    <w:p>
      <w:pPr>
        <w:pStyle w:val="TextBody"/>
        <w:bidi w:val="0"/>
        <w:spacing w:before="0" w:after="0"/>
        <w:jc w:val="right"/>
        <w:rPr>
          <w:rFonts w:ascii="Times New Roman" w:hAnsi="Times New Roman"/>
          <w:b/>
          <w:sz w:val="20"/>
        </w:rPr>
      </w:pPr>
      <w:bookmarkStart w:id="33" w:name="d140546dex41.htm"/>
      <w:bookmarkStart w:id="34" w:name="ksd140546dex41"/>
      <w:bookmarkEnd w:id="33"/>
      <w:bookmarkEnd w:id="34"/>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DESCRIPTION OF THE REGISTRANT’S SECURITIES</w:t>
      </w:r>
    </w:p>
    <w:p>
      <w:pPr>
        <w:pStyle w:val="TextBody"/>
        <w:bidi w:val="0"/>
        <w:spacing w:before="0" w:after="0"/>
        <w:jc w:val="center"/>
        <w:rPr>
          <w:rFonts w:ascii="Times New Roman" w:hAnsi="Times New Roman"/>
          <w:b/>
          <w:sz w:val="20"/>
        </w:rPr>
      </w:pPr>
      <w:r>
        <w:rPr>
          <w:rFonts w:ascii="Times New Roman" w:hAnsi="Times New Roman"/>
          <w:b/>
          <w:sz w:val="20"/>
        </w:rPr>
        <w:t>REGISTERED PURSUANT TO SECTION 12 OF THE</w:t>
      </w:r>
    </w:p>
    <w:p>
      <w:pPr>
        <w:pStyle w:val="TextBody"/>
        <w:bidi w:val="0"/>
        <w:spacing w:before="0" w:after="0"/>
        <w:jc w:val="center"/>
        <w:rPr>
          <w:rFonts w:ascii="Times New Roman" w:hAnsi="Times New Roman"/>
          <w:b/>
          <w:sz w:val="20"/>
        </w:rPr>
      </w:pPr>
      <w:r>
        <w:rPr>
          <w:rFonts w:ascii="Times New Roman" w:hAnsi="Times New Roman"/>
          <w:b/>
          <w:sz w:val="20"/>
        </w:rPr>
        <w:t>SECURITIES EXCHANGE ACT OF 1934</w:t>
      </w:r>
    </w:p>
    <w:p>
      <w:pPr>
        <w:pStyle w:val="TextBody"/>
        <w:bidi w:val="0"/>
        <w:spacing w:before="240" w:after="0"/>
        <w:jc w:val="left"/>
        <w:rPr>
          <w:rFonts w:ascii="Times New Roman" w:hAnsi="Times New Roman"/>
          <w:sz w:val="20"/>
        </w:rPr>
      </w:pPr>
      <w:r>
        <w:rPr>
          <w:rFonts w:ascii="Times New Roman" w:hAnsi="Times New Roman"/>
          <w:sz w:val="20"/>
        </w:rPr>
        <w:t>The summary of the general terms and provisions of the registered securities of Aura Biosciences, Inc. (the “Company,” “we,” “us,” and “our”) set forth below does not purport to be complete. It is subject to and qualified in its entirety by reference to our Tenth Amended and Restated Certificate of Incorporation, as amended (“certificate of incorporation”), our Amended and Restated Bylaws (“bylaws”), our pre-funded warrants to purchase shares of common stock ( “Pre-Funded Warrants”) and common warrants to purchase shares of common stock (the “Common Warrants”), each of which are incorporated by reference as an exhibit to the Annual Report on Form 10-K of which this Exhibit 4.1 is a part, and by applicable law. We encourage you to read our certificate of incorporation, our bylaws, the Pre-Funded Warrants, the Common Warrants and the applicable provisions of the Delaware General Corporation Law for additional information.</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500,000,000 shares of common stock, par value $0.00001 per share, and 10,000,000 shares of preferred stock, par value $0.00001 per share, all of which shares of preferred stock are undesignated.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for each share held on all matters submitted to a vote of common stockholders. The holders of our common stock do not have any cumulative voting rights. The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all assets remaining after payment of all debts and other liabilities and any liquidation preference of any outstanding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pStyle w:val="TextBody"/>
        <w:bidi w:val="0"/>
        <w:spacing w:before="240" w:after="0"/>
        <w:jc w:val="left"/>
        <w:rPr>
          <w:rFonts w:ascii="Times New Roman" w:hAnsi="Times New Roman"/>
          <w:sz w:val="20"/>
        </w:rPr>
      </w:pPr>
      <w:r>
        <w:rPr>
          <w:rFonts w:ascii="Times New Roman" w:hAnsi="Times New Roman"/>
          <w:sz w:val="20"/>
        </w:rPr>
        <w:t>No shares of preferred stock are outstanding as of the date of our Annual Report on Form 10-K with which this Exhibit 4.1 is filed as an exhibit.</w:t>
      </w:r>
    </w:p>
    <w:p>
      <w:pPr>
        <w:pStyle w:val="TextBody"/>
        <w:bidi w:val="0"/>
        <w:spacing w:before="360" w:after="0"/>
        <w:jc w:val="left"/>
        <w:rPr>
          <w:rFonts w:ascii="Times New Roman" w:hAnsi="Times New Roman"/>
          <w:b/>
          <w:sz w:val="20"/>
        </w:rPr>
      </w:pPr>
      <w:r>
        <w:rPr>
          <w:rFonts w:ascii="Times New Roman" w:hAnsi="Times New Roman"/>
          <w:b/>
          <w:sz w:val="20"/>
        </w:rPr>
        <w:t xml:space="preserve">Warrants Associated with May 2025 Follow-On Offering </w:t>
      </w:r>
    </w:p>
    <w:p>
      <w:pPr>
        <w:pStyle w:val="TextBody"/>
        <w:bidi w:val="0"/>
        <w:spacing w:before="120" w:after="0"/>
        <w:jc w:val="left"/>
        <w:rPr>
          <w:rFonts w:ascii="Times New Roman" w:hAnsi="Times New Roman"/>
          <w:sz w:val="20"/>
        </w:rPr>
      </w:pPr>
      <w:r>
        <w:rPr>
          <w:rFonts w:ascii="Times New Roman" w:hAnsi="Times New Roman"/>
          <w:sz w:val="20"/>
        </w:rPr>
        <w:t xml:space="preserve">On May 15, 2025, we entered into an underwriting agreement (the “2025 Underwriting Agreement”) with Leerink Partners LLC, as representative of the several underwriters named therein (the “2025 Underwriters”), pursuant to which we sold (i) 11,735,565 shares of our common stock, (ii) pre-funded warrants to purchase up to 3,571,435 shares of common stock (the “2025 Pre-Funded Warrants”) and (iii) accompanying common warrants to purchase an aggregate of 3,826,750 shares of common stock (the “2025 Common Warrants”).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Description of 2025 Pre-Funded Warrants </w:t>
      </w:r>
    </w:p>
    <w:p>
      <w:pPr>
        <w:pStyle w:val="TextBody"/>
        <w:bidi w:val="0"/>
        <w:spacing w:before="120" w:after="0"/>
        <w:jc w:val="left"/>
        <w:rPr>
          <w:rFonts w:ascii="Times New Roman" w:hAnsi="Times New Roman"/>
          <w:i/>
          <w:sz w:val="20"/>
        </w:rPr>
      </w:pPr>
      <w:r>
        <w:rPr>
          <w:rFonts w:ascii="Times New Roman" w:hAnsi="Times New Roman"/>
          <w:i/>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2025 Pre-Funded Warrants will expire on the date the warrant is exercised in full. </w:t>
      </w:r>
    </w:p>
    <w:p>
      <w:pPr>
        <w:pStyle w:val="TextBody"/>
        <w:bidi w:val="0"/>
        <w:spacing w:before="360" w:after="0"/>
        <w:jc w:val="left"/>
        <w:rPr>
          <w:rFonts w:ascii="Times New Roman" w:hAnsi="Times New Roman"/>
          <w:i/>
          <w:sz w:val="20"/>
        </w:rPr>
      </w:pPr>
      <w:r>
        <w:rPr>
          <w:rFonts w:ascii="Times New Roman" w:hAnsi="Times New Roman"/>
          <w:i/>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2025 Pre-Funded Warrants are exercisable at any time after their original issuance. The 2025 Pre-Funded Warrants will be exercisable, at the option of each holder, in whole or in part by delivering to us a duly executed exercise notice and by payment in full of the exercise price in immediately available funds for the number of shares of our common stock purchased upon such exercise. However, the holder would receive upon such exercise, the net number of shares of our common stock determined according to the formula set forth in the 2025 Pre-Funded Warrant. No fractional shares of our common stock will be issued in connection with the exercise of a 2025 Pre-Funded Warrant. In lieu of any fractional shares, we will pay cash equal to the product of such fraction multiplied by the fair market value of one share underlying such 2025 Pre-Funded Warrants. </w:t>
      </w:r>
    </w:p>
    <w:p>
      <w:pPr>
        <w:pStyle w:val="TextBody"/>
        <w:bidi w:val="0"/>
        <w:spacing w:before="360" w:after="0"/>
        <w:jc w:val="left"/>
        <w:rPr>
          <w:rFonts w:ascii="Times New Roman" w:hAnsi="Times New Roman"/>
          <w:i/>
          <w:sz w:val="20"/>
        </w:rPr>
      </w:pPr>
      <w:r>
        <w:rPr>
          <w:rFonts w:ascii="Times New Roman" w:hAnsi="Times New Roman"/>
          <w:i/>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2025 Pre-Funded Warrants, we may not effect the exercise of any 2025 Pre-Funded Warrants, and a holder will not be entitled to exercise any portion of any Pre-Funded Warrant, which, upon giving effect to such exercise, would cause the aggregate number of shares of our common stock beneficially owned by the holder (together with its affiliates) to exceed 9.99% of the number of shares of our common stock outstanding immediately after giving effect to the exercise, as such percentage ownership is determined in accordance with the terms of the 2025 Pre-Funded Warrants. However, any holder may increase or decrease such percentage to any other percentage not in excess of 19.99% upon at least 61 days’ prior notice from the holder to us. </w:t>
      </w:r>
    </w:p>
    <w:p>
      <w:pPr>
        <w:pStyle w:val="TextBody"/>
        <w:bidi w:val="0"/>
        <w:spacing w:before="360" w:after="0"/>
        <w:jc w:val="left"/>
        <w:rPr>
          <w:rFonts w:ascii="Times New Roman" w:hAnsi="Times New Roman"/>
          <w:i/>
          <w:sz w:val="20"/>
        </w:rPr>
      </w:pPr>
      <w:r>
        <w:rPr>
          <w:rFonts w:ascii="Times New Roman" w:hAnsi="Times New Roman"/>
          <w:i/>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whole share of our common stock purchasable upon the exercise of the 2025 Pre-Funded Warrants is $0.00001 per share of common stock. The exercise price of the 2025 Pre-Funded Warrants and the number of shares of our common stock issuable upon exercise of the 2025 Pre-Funded Warrants is subject to appropriate adjustment in the event of certain stock dividends, subdivisions, stock splits, stock combinations, reclassifications, reorganizations or similar events affecting our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and the restrictions on transfer set forth in the 2025 Pre-Funded Warrants, the 2025 Pre-Funded Warrants may be offered for sale, sold, transferred or assigned without our consent. </w:t>
      </w:r>
    </w:p>
    <w:p>
      <w:pPr>
        <w:pStyle w:val="TextBody"/>
        <w:bidi w:val="0"/>
        <w:spacing w:before="360" w:after="0"/>
        <w:jc w:val="left"/>
        <w:rPr>
          <w:rFonts w:ascii="Times New Roman" w:hAnsi="Times New Roman"/>
          <w:i/>
          <w:sz w:val="20"/>
        </w:rPr>
      </w:pPr>
      <w:r>
        <w:rPr>
          <w:rFonts w:ascii="Times New Roman" w:hAnsi="Times New Roman"/>
          <w:i/>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We do not plan on applying to list the 2025 Pre-Funded Warrants on The Nasdaq Global Market, any other national securities exchange or any other nationally recognized trading system. </w:t>
      </w:r>
    </w:p>
    <w:p>
      <w:pPr>
        <w:pStyle w:val="TextBody"/>
        <w:bidi w:val="0"/>
        <w:spacing w:before="360" w:after="0"/>
        <w:jc w:val="left"/>
        <w:rPr>
          <w:rFonts w:ascii="Times New Roman" w:hAnsi="Times New Roman"/>
          <w:i/>
          <w:sz w:val="20"/>
        </w:rPr>
      </w:pPr>
      <w:r>
        <w:rPr>
          <w:rFonts w:ascii="Times New Roman" w:hAnsi="Times New Roman"/>
          <w:i/>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In the event of a change of control, which generally includes a merger or consolidation resulting in the sale of 50% or more of the voting securities of the Company, the sale of all or substantially all of the assets or voting securities of the Company, or other change of control transaction, the holders of the 2025 Pre-Funded Warrants will be entitled to receive upon exercise of the 2025 Pre-Funded Warrants the kind and amount of securities, cash or other property that the</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would have received had they exercised the 2025 Pre-Funded Warrants immediately prior to such change of control without regard to any limitations on exercise contained in the 2025 Pre-Funded Warrants (the “2025 Alternate Consideration”). If holders of our common stock are given any choice as to the securities, cash or property to be received in a change of control, then the holder will be given the same choice as to the 2025 Alternate Consideration it receives upon any exercise of the 2025 Pre-Funded Warrants following such change of control. </w:t>
      </w:r>
    </w:p>
    <w:p>
      <w:pPr>
        <w:pStyle w:val="TextBody"/>
        <w:bidi w:val="0"/>
        <w:spacing w:before="360" w:after="0"/>
        <w:jc w:val="left"/>
        <w:rPr>
          <w:rFonts w:ascii="Times New Roman" w:hAnsi="Times New Roman"/>
          <w:i/>
          <w:sz w:val="20"/>
        </w:rPr>
      </w:pPr>
      <w:r>
        <w:rPr>
          <w:rFonts w:ascii="Times New Roman" w:hAnsi="Times New Roman"/>
          <w:i/>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 2025 Pre-Funded Warrant does not have the rights or privileges of a holder of our common stock, including any voting rights, until the holder exercises the 2025 Pre-Funded Warrant. In the event of certain distributions, including cash dividends, if any, to all holders of our common stock for no consideration, the holder of a 2025 Pre-Funded Warrant shall be entitled to participate in such distributions to the same extent as if a holder of shares of our common stock, subject to not exceeding the ownership limitations described above under “—Description of 2025 Pre-Funded Warrants—Exercise Limitations,” in which case such distribution shall be held in abeyance for the benefit of such holder until the earlier of such time as the ownership limitations would not be exceeded or the warrant is exercised. In the event of certain distributions, including cash dividends, if any, to all holders of our common stock for no consideration, the holder of a 2025 Pre-Funded Warrant shall be entitled to participate in such distributions to the same extent as if a holder of shares of our common stock, subject to not exceeding the ownership limitations described above under “—Description of 2025 Pre-Funded Warrants—Exercise Limitations,” in which case such distribution shall be held in abeyance for the benefit of such holder until the earlier of such time as the ownership limitations would not be exceeded or the warrant is exercised. </w:t>
      </w:r>
    </w:p>
    <w:p>
      <w:pPr>
        <w:pStyle w:val="TextBody"/>
        <w:bidi w:val="0"/>
        <w:spacing w:before="360" w:after="0"/>
        <w:jc w:val="left"/>
        <w:rPr>
          <w:rFonts w:ascii="Times New Roman" w:hAnsi="Times New Roman"/>
          <w:sz w:val="20"/>
        </w:rPr>
      </w:pPr>
      <w:r>
        <w:rPr>
          <w:rFonts w:ascii="Times New Roman" w:hAnsi="Times New Roman"/>
          <w:b/>
          <w:i/>
          <w:sz w:val="20"/>
        </w:rPr>
        <w:t xml:space="preserve">Description of </w:t>
      </w:r>
      <w:r>
        <w:rPr>
          <w:rFonts w:ascii="Times New Roman" w:hAnsi="Times New Roman"/>
          <w:sz w:val="20"/>
        </w:rPr>
        <w:t xml:space="preserve">2025 </w:t>
      </w:r>
      <w:r>
        <w:rPr>
          <w:rFonts w:ascii="Times New Roman" w:hAnsi="Times New Roman"/>
          <w:b/>
          <w:i/>
          <w:sz w:val="20"/>
        </w:rPr>
        <w:t>Common Stock Warrants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2025 Common Warrants will expire on May 16, 2030. </w:t>
      </w:r>
    </w:p>
    <w:p>
      <w:pPr>
        <w:pStyle w:val="TextBody"/>
        <w:bidi w:val="0"/>
        <w:spacing w:before="360" w:after="0"/>
        <w:jc w:val="left"/>
        <w:rPr>
          <w:rFonts w:ascii="Times New Roman" w:hAnsi="Times New Roman"/>
          <w:i/>
          <w:sz w:val="20"/>
        </w:rPr>
      </w:pPr>
      <w:r>
        <w:rPr>
          <w:rFonts w:ascii="Times New Roman" w:hAnsi="Times New Roman"/>
          <w:i/>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2025 Common Warrants are exercisable at any time after their original issuance. The 2025 Common Warrants are exercisable, at the option of each holder, in whole or in part by delivering to us a duly executed exercise notice and by payment in full of the applicable exercise price in immediately available funds for the number of shares of our common stock purchased upon such exercise. The holder may elect to exercise the common stock warrant through a cashless exercise, in which the holder would receive upon such exercise the net number of shares of our common stock determined according to the formula set forth in the common stock warrant. No fractional shares of our common stock will be issued in connection with the exercise of a common stock warrant. In lieu of any fractional shares, we will pay cash equal to the product of such fraction multiplied by the fair market value of one share underlying such 2025 Common Warrants. </w:t>
      </w:r>
    </w:p>
    <w:p>
      <w:pPr>
        <w:pStyle w:val="TextBody"/>
        <w:bidi w:val="0"/>
        <w:spacing w:before="360" w:after="0"/>
        <w:jc w:val="left"/>
        <w:rPr>
          <w:rFonts w:ascii="Times New Roman" w:hAnsi="Times New Roman"/>
          <w:i/>
          <w:sz w:val="20"/>
        </w:rPr>
      </w:pPr>
      <w:r>
        <w:rPr>
          <w:rFonts w:ascii="Times New Roman" w:hAnsi="Times New Roman"/>
          <w:i/>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2025 Common Warrants, we may not effect the exercise of any Common Warrants, and a holder will not be entitled to exercise any portion of any common stock warrant, which, upon giving effect to such exercise, would cause the aggregate number of shares of our common stock beneficially owned by the holder (together with its affiliates) to exceed 9.99% of the number of shares of our common stock outstanding immediately after giving effect to the exercise, as such percentage ownership is determined in accordance with the terms of the 2025 Common Warrants. However, any holder may increase such percentage up to 19.99% of the number of shares of common stock outstanding immediately after giving effect to the exercise, as such percentage ownership is determined in accordance with the terms of the 2025 Common Warrants, upon at least 61 days’ prior notice from the holder to 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initial exercise price per whole share of our common stock purchasable upon the exercise of the 2025 Common Warrants is $4.90 per share of common stock. The exercise price of the 2025 Common Warrants and the number of shares of our common stock issuable upon exercise of the 2025 Common Warrants is subject to appropriate adjustment in the event of certain stock dividends, subdivisions, stock splits, stock combinations, reclassifications, reorganizations or similar events affecting our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and the restrictions on transfer set forth in the 2025 Common Warrants, the 2025 Common Warrants may be offered for sale, sold, transferred or assigned without our consent. </w:t>
      </w:r>
    </w:p>
    <w:p>
      <w:pPr>
        <w:pStyle w:val="TextBody"/>
        <w:bidi w:val="0"/>
        <w:spacing w:before="360" w:after="0"/>
        <w:jc w:val="left"/>
        <w:rPr>
          <w:rFonts w:ascii="Times New Roman" w:hAnsi="Times New Roman"/>
          <w:i/>
          <w:sz w:val="20"/>
        </w:rPr>
      </w:pPr>
      <w:r>
        <w:rPr>
          <w:rFonts w:ascii="Times New Roman" w:hAnsi="Times New Roman"/>
          <w:i/>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We do not plan on applying to list the common stock warrants on The Nasdaq Global Market, any other national securities exchange or any other nationally recognized trading system. </w:t>
      </w:r>
    </w:p>
    <w:p>
      <w:pPr>
        <w:pStyle w:val="TextBody"/>
        <w:bidi w:val="0"/>
        <w:spacing w:before="360" w:after="0"/>
        <w:jc w:val="left"/>
        <w:rPr>
          <w:rFonts w:ascii="Times New Roman" w:hAnsi="Times New Roman"/>
          <w:i/>
          <w:sz w:val="20"/>
        </w:rPr>
      </w:pPr>
      <w:r>
        <w:rPr>
          <w:rFonts w:ascii="Times New Roman" w:hAnsi="Times New Roman"/>
          <w:i/>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fundamental transaction, as described in the 2025 Common Warrants, which generally includes a merger or consolidation resulting in the sale of 50% or more of the voting securities of the Company, the sale of all or substantially all of the assets or voting securities of the Company, or other change of control transaction, the holders of the 2025 Common Warrants will be entitled to receive upon exercise of the 2025 Common Warrants the kind and amount of securities, cash or other property that the holders would have received had they exercised the 2025 Common Warrants immediately prior to such change of control without regard to any limitations on exercise contained in the common stock warrants. Notwithstanding the foregoing, as more fully described in the 2025 Common Warrants, in the event of certain fundamental transactions, the holders of the common stock warrants will be entitled to receive consideration in an amount equal to the Black Scholes value of the 2025 Common Warrants. </w:t>
      </w:r>
    </w:p>
    <w:p>
      <w:pPr>
        <w:pStyle w:val="TextBody"/>
        <w:bidi w:val="0"/>
        <w:spacing w:before="360" w:after="0"/>
        <w:jc w:val="left"/>
        <w:rPr>
          <w:rFonts w:ascii="Times New Roman" w:hAnsi="Times New Roman"/>
          <w:i/>
          <w:sz w:val="20"/>
        </w:rPr>
      </w:pPr>
      <w:r>
        <w:rPr>
          <w:rFonts w:ascii="Times New Roman" w:hAnsi="Times New Roman"/>
          <w:i/>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 2025 Common Warrant does not have the rights or privileges of a holder of our common stock, including any voting rights, until the holder exercises the 2025 Common Warrant to receive shares of our common stock. In the event of certain distributions, including cash dividends, if any, to all holders of our common stock for no consideration, the holder of a 2025 Common Warrant shall be entitled to participate in such distributions to the same extent as if a holder of shares of our common stock, subject to not exceeding the ownership limitations described above under “—Description of 2025 Common Warrants—Exercise Limitations,” in which case such distribution shall be held in abeyance for the benefit of such holder until the earlier of such time as the ownership limitations would not be exceeded or the warrant is exercised. In the event of certain distributions, including cash dividends, if any, to all holders of our common stock for no consideration, the holder of a 2025 Common Warrant shall be entitled to participate in such distributions to the same extent as if a holder of shares of our common stock, subject to not exceeding the ownership limitations described above under “—Description of 2025 Common Warrants—Exercise Limitations,” in which case such distribution shall be held in abeyance for the benefit of such holder until the earlier of such time as the ownership limitations would not be exceeded or the warrant is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Associated with May 2026 Follow-On Offering </w:t>
      </w:r>
    </w:p>
    <w:p>
      <w:pPr>
        <w:pStyle w:val="TextBody"/>
        <w:bidi w:val="0"/>
        <w:spacing w:before="120" w:after="0"/>
        <w:jc w:val="left"/>
        <w:rPr>
          <w:rFonts w:ascii="Times New Roman" w:hAnsi="Times New Roman"/>
          <w:sz w:val="20"/>
        </w:rPr>
      </w:pPr>
      <w:r>
        <w:rPr>
          <w:rFonts w:ascii="Times New Roman" w:hAnsi="Times New Roman"/>
          <w:sz w:val="20"/>
        </w:rPr>
        <w:t xml:space="preserve">On May 4, 2026, we entered into an underwriting agreement (the “2026 Underwriting Agreement”) with Leerink Partners LLC, TD Securities (USA) LLC and Evercore Group L.L.C., as representatives of the several underwriters named therein (the “2026 Underwriters”), pursuant to which we sold (i) 46,099,650 shares of our common stock, including 6,508,650 shares sold pursuant to the underwriters’ exercise in full of their option to purchase additional shares, and (ii) pre-funded warrants to purchase up to 3,800,000 of common stock (the “2026 Pre-Funded Warrants”). </w:t>
      </w:r>
    </w:p>
    <w:p>
      <w:pPr>
        <w:pStyle w:val="TextBody"/>
        <w:bidi w:val="0"/>
        <w:spacing w:before="360" w:after="0"/>
        <w:jc w:val="left"/>
        <w:rPr>
          <w:rFonts w:ascii="Times New Roman" w:hAnsi="Times New Roman"/>
          <w:sz w:val="20"/>
        </w:rPr>
      </w:pPr>
      <w:r>
        <w:rPr>
          <w:rFonts w:ascii="Times New Roman" w:hAnsi="Times New Roman"/>
          <w:b/>
          <w:i/>
          <w:sz w:val="20"/>
        </w:rPr>
        <w:t xml:space="preserve">Description of </w:t>
      </w:r>
      <w:r>
        <w:rPr>
          <w:rFonts w:ascii="Times New Roman" w:hAnsi="Times New Roman"/>
          <w:sz w:val="20"/>
        </w:rPr>
        <w:t xml:space="preserve">2026 </w:t>
      </w:r>
      <w:r>
        <w:rPr>
          <w:rFonts w:ascii="Times New Roman" w:hAnsi="Times New Roman"/>
          <w:b/>
          <w:i/>
          <w:sz w:val="20"/>
        </w:rPr>
        <w:t>Pre-Funded Warrants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2026Pre-Funded Warrants will expire on the date the warrant is exercised in full.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2026 Pre-Funded Warrants are exercisable at any time after their original issuance. The 2026 Pre-Funded Warrants will be exercisable, at the option of each holder, in whole or in part by delivering to us a duly executed exercise notice and by payment in full of the exercise price in immediately available funds for the number of shares of our common stock purchased upon such exercise. However, the holder would receive upon such exercise, the net number of shares of our common stock determined according to the formula set forth in the 2026 Pre-Funded Warrant. No fractional shares of our common stock will be issued in connection with the exercise of a 2026 Pre-Funded Warrant. In lieu of any fractional shares, we will pay cash equal to the product of such fraction multiplied by the fair market value of one share underlying such 2026 Pre-Funded Warrants. </w:t>
      </w:r>
    </w:p>
    <w:p>
      <w:pPr>
        <w:pStyle w:val="TextBody"/>
        <w:bidi w:val="0"/>
        <w:spacing w:before="360" w:after="0"/>
        <w:jc w:val="left"/>
        <w:rPr>
          <w:rFonts w:ascii="Times New Roman" w:hAnsi="Times New Roman"/>
          <w:i/>
          <w:sz w:val="20"/>
        </w:rPr>
      </w:pPr>
      <w:r>
        <w:rPr>
          <w:rFonts w:ascii="Times New Roman" w:hAnsi="Times New Roman"/>
          <w:i/>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2026 Pre-Funded Warrants, we may not effect the exercise of any 2026 Pre-Funded Warrants, and a holder will not be entitled to exercise any portion of any Pre-Funded Warrant, which, upon giving effect to such exercise, would cause the aggregate number of shares of our common stock beneficially owned by the holder (together with its affiliates) to exceed 4.99% or 9.99% of the number of shares of our common stock outstanding immediately after giving effect to the exercise, as such percentage ownership is determined in accordance with the terms of the Pre-Funded Warrants. However, any holder may increase or decrease such percentage to any other percentage not in excess of 19.99% upon at least 61 days’ prior notice from the holder to us. </w:t>
      </w:r>
    </w:p>
    <w:p>
      <w:pPr>
        <w:pStyle w:val="TextBody"/>
        <w:bidi w:val="0"/>
        <w:spacing w:before="360" w:after="0"/>
        <w:jc w:val="left"/>
        <w:rPr>
          <w:rFonts w:ascii="Times New Roman" w:hAnsi="Times New Roman"/>
          <w:i/>
          <w:sz w:val="20"/>
        </w:rPr>
      </w:pPr>
      <w:r>
        <w:rPr>
          <w:rFonts w:ascii="Times New Roman" w:hAnsi="Times New Roman"/>
          <w:i/>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whole share of our common stock purchasable upon the exercise of the 2026 Pre-Funded Warrants is $0.00001 per share of common stock. The exercise price of the 2026 Pre-Funded Warrants and the number of shares of our common stock issuable upon exercise of the 2026 Pre-Funded Warrants is subject to appropriate adjustment in the event of certain stock dividends, subdivisions, stock splits, stock combinations, reclassifications, reorganizations or similar events affecting our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and the restrictions on transfer set forth in the 2026 Pre-Funded Warrants, the 2026 Pre-Funded Warrants may be offered for sale, sold, transferred or assigned without our consent. </w:t>
      </w:r>
    </w:p>
    <w:p>
      <w:pPr>
        <w:pStyle w:val="TextBody"/>
        <w:bidi w:val="0"/>
        <w:spacing w:before="360" w:after="0"/>
        <w:jc w:val="left"/>
        <w:rPr>
          <w:rFonts w:ascii="Times New Roman" w:hAnsi="Times New Roman"/>
          <w:i/>
          <w:sz w:val="20"/>
        </w:rPr>
      </w:pPr>
      <w:r>
        <w:rPr>
          <w:rFonts w:ascii="Times New Roman" w:hAnsi="Times New Roman"/>
          <w:i/>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We do not plan on applying to list the 2026 Pre-Funded Warrants on The Nasdaq Global Market, any other national securities exchange or any other nationally recognized trading system. </w:t>
      </w:r>
    </w:p>
    <w:p>
      <w:pPr>
        <w:pStyle w:val="TextBody"/>
        <w:bidi w:val="0"/>
        <w:spacing w:before="360" w:after="0"/>
        <w:jc w:val="left"/>
        <w:rPr>
          <w:rFonts w:ascii="Times New Roman" w:hAnsi="Times New Roman"/>
          <w:i/>
          <w:sz w:val="20"/>
        </w:rPr>
      </w:pPr>
      <w:r>
        <w:rPr>
          <w:rFonts w:ascii="Times New Roman" w:hAnsi="Times New Roman"/>
          <w:i/>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of control, which generally includes a merger or consolidation resulting in the sale of 50% or more of the voting securities of the Company, the sale of all or substantially all of the assets or voting securities of the Company, or other change of control transaction, the holders of the pre funded warrants will be entitled to receive upon exercise of the 2026 Pre-Funded Warrants the kind and amount of securities, cash or other property that the holders would have received had they exercised the 2026 Pre-Funded Warrants immediately prior to such change of control without regard to any limitations on exercise contained in the pre-funded warrants (the “2026 Alternate Consideration”). If holders of our common stock are given any choice as to the securities, cash or property to be received in a change of control, then the holder will be given the same choice as to the 2026 Alternate Consideration it receives upon any exercise of the 2026 Pre-Funded Warrants following such change of control. </w:t>
      </w:r>
    </w:p>
    <w:p>
      <w:pPr>
        <w:pStyle w:val="TextBody"/>
        <w:bidi w:val="0"/>
        <w:spacing w:before="360" w:after="0"/>
        <w:jc w:val="left"/>
        <w:rPr>
          <w:rFonts w:ascii="Times New Roman" w:hAnsi="Times New Roman"/>
          <w:i/>
          <w:sz w:val="20"/>
        </w:rPr>
      </w:pPr>
      <w:r>
        <w:rPr>
          <w:rFonts w:ascii="Times New Roman" w:hAnsi="Times New Roman"/>
          <w:i/>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 2026 Pre-Funded Warrant does not have the rights or privileges of a holder of our common stock, including any voting rights, until the holder exercises the 2026 Pre-Funded Warrant. In the event of certain distributions, including cash dividends, if any, to all holders of our common stock for no consideration, the holder of a 2026 Pre-Funded Warrant shall be entitled to participate in such distributions to the same extent as if a holder of shares of our common stock, subject to not exceeding the ownership limitations described above under “—Description of 2026 Pre-Funded Warrants—Exercise Limitations,” in which case such distribution shall be held in abeyance for the benefit of such holder until the earlier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such time as the ownership limitations would not be exceeded or the warrant is exercised. In the event of certain distributions, including cash dividends, if any, to all holders of our common stock for no consideration, the holder of a 2026 Pre-Funded Warrant shall be entitled to participate in such distributions to the same extent as if a holder of shares of our common stock, subject to not exceeding the ownership limitations described above under “—Description of 2026 Pre-Funded Warrants—Exercise Limitations,” in which case such distribution shall be held in abeyance for the benefit of such holder until the earlier of such time as the ownership limitations would not be exceeded or the warrant is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stockholders are entitled to rights with respect to the registration of these securities under the Securities Act. These rights are provided under the terms of our Fifth Amended and Restated Investors’ Rights Agreement, dated as of March 18, 2021 (the “Investors’ Rights Agreement”), entered into between us and the holders of our preferred stock.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stockholders are entitled to demand registration rights. Under the terms of our Investors’ Rights Agreement, we will be required, upon the written request of a majority of holders of the registrable securities then outstanding that would result in an aggregate offering price of at least $5.0 million, to file a registration statement and to use commercially reasonable efforts to effect the registration of all or a portion of these shares for public resale.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Short-Form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Investors’ Rights Agreement, if we are eligible to file a registration statement on Form S-3, upon the written request from any such holder to sell registrable securities at an aggregate price of at least $3.0 million, we will be required to use commercially reasonable efforts to effect a registration of such shares. We are required to effect only two registrations in any twelve-month period pursuant to this provision of the Investors’ Rights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Expiration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demand registration rights and short-form registration rights granted under the Investors’ Rights Agreement will terminate upon the earlier of (i) November 2, 2026, (ii) a liquidation event and (iii) with respect to any particular stockholder, when such stockholder is able to sell all of its shares pursuant to Rule 144 or any similar exemption under the Securities Act during any three-month period without registration.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Certificate of Incorporation and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Composition and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Amendment to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we consent in writing to the selection of an alternative forum, 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or our certificate of incorporation or bylaws (including the interpretation, validity or enforceability thereof); or (4) any action asserting a claim that is governed by the internal affairs doctrine; provided, however, that this provision shall not apply to any causes of action arising under the Securities Act or the Exchange Act. In addition, our bylaws provide that, unless we consent to an alternative forum, the federal district courts of the United States shall be the sole and exclusive forum for resolving any complaint asserting a cause of action under the Securities Act (the “Federal Forum Provision”). Any person or entity purchasing or otherwise acquiring any interest in our securities shall be deemed to have notice of and consented to these forum provisions. These forum provisions may impose additional costs on stockholders and may limit our stockholders’ ability to bring a claim in a forum they find favorable, and the designated courts may reach different judgements or results than other courts. In addition, there is uncertainty as to whether our Federal Forum Provision will be enforced, which may impose additional costs on us and our stockholders.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involving the interested stockholder of 10% or more of the assets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360" w:after="0"/>
        <w:jc w:val="left"/>
        <w:rPr>
          <w:rFonts w:ascii="Times New Roman" w:hAnsi="Times New Roman"/>
          <w:b/>
          <w:sz w:val="20"/>
        </w:rPr>
      </w:pPr>
      <w:r>
        <w:rPr>
          <w:rFonts w:ascii="Times New Roman" w:hAnsi="Times New Roman"/>
          <w:b/>
          <w:sz w:val="20"/>
        </w:rPr>
        <w:t xml:space="preserve">Nasdaq Global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trading symbol “AURA.”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150 Royall Street, Canton, Massachusetts 02021, and its telephone number is (800) 736-3001. </w:t>
      </w:r>
    </w:p>
    <w:p>
      <w:pPr>
        <w:pStyle w:val="TextBody"/>
        <w:bidi w:val="0"/>
        <w:spacing w:before="0" w:after="0"/>
        <w:jc w:val="right"/>
        <w:rPr>
          <w:rFonts w:ascii="Times New Roman" w:hAnsi="Times New Roman"/>
          <w:b/>
          <w:sz w:val="20"/>
        </w:rPr>
      </w:pPr>
      <w:bookmarkStart w:id="35" w:name="d140546dex51.htm"/>
      <w:bookmarkStart w:id="36" w:name="ksd140546dex51"/>
      <w:bookmarkEnd w:id="35"/>
      <w:bookmarkEnd w:id="36"/>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32"/>
        <w:gridCol w:w="120"/>
        <w:gridCol w:w="5153"/>
      </w:tblGrid>
      <w:tr>
        <w:trPr/>
        <w:tc>
          <w:tcPr>
            <w:tcW w:w="493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53" w:type="dxa"/>
            <w:tcBorders/>
            <w:vAlign w:val="center"/>
          </w:tcPr>
          <w:p>
            <w:pPr>
              <w:pStyle w:val="TableContents"/>
              <w:bidi w:val="0"/>
              <w:spacing w:before="0" w:after="283"/>
              <w:jc w:val="left"/>
              <w:rPr>
                <w:sz w:val="4"/>
                <w:szCs w:val="4"/>
              </w:rPr>
            </w:pPr>
            <w:r>
              <w:rPr>
                <w:sz w:val="4"/>
                <w:szCs w:val="4"/>
              </w:rPr>
            </w:r>
          </w:p>
        </w:tc>
      </w:tr>
      <w:tr>
        <w:trPr/>
        <w:tc>
          <w:tcPr>
            <w:tcW w:w="4932" w:type="dxa"/>
            <w:tcBorders/>
          </w:tcPr>
          <w:p>
            <w:pPr>
              <w:pStyle w:val="TableContents"/>
              <w:bidi w:val="0"/>
              <w:spacing w:before="0" w:after="283"/>
              <w:jc w:val="left"/>
              <w:rPr/>
            </w:pPr>
            <w:r>
              <w:rPr/>
              <w:drawing>
                <wp:inline distT="0" distB="0" distL="0" distR="0">
                  <wp:extent cx="1724025" cy="304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7"/>
                          <a:stretch>
                            <a:fillRect/>
                          </a:stretch>
                        </pic:blipFill>
                        <pic:spPr bwMode="auto">
                          <a:xfrm>
                            <a:off x="0" y="0"/>
                            <a:ext cx="1724025" cy="3048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153" w:type="dxa"/>
            <w:tcBorders/>
          </w:tcPr>
          <w:p>
            <w:pPr>
              <w:pStyle w:val="TableContents"/>
              <w:bidi w:val="0"/>
              <w:spacing w:before="0" w:after="283"/>
              <w:jc w:val="right"/>
              <w:rPr/>
            </w:pPr>
            <w:r>
              <w:rPr/>
              <w:drawing>
                <wp:inline distT="0" distB="0" distL="0" distR="0">
                  <wp:extent cx="2514600" cy="400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8"/>
                          <a:stretch>
                            <a:fillRect/>
                          </a:stretch>
                        </pic:blipFill>
                        <pic:spPr bwMode="auto">
                          <a:xfrm>
                            <a:off x="0" y="0"/>
                            <a:ext cx="2514600" cy="400050"/>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11, 2026 </w:t>
      </w:r>
    </w:p>
    <w:p>
      <w:pPr>
        <w:pStyle w:val="TextBody"/>
        <w:bidi w:val="0"/>
        <w:spacing w:before="240" w:after="0"/>
        <w:jc w:val="left"/>
        <w:rPr>
          <w:rFonts w:ascii="Times New Roman" w:hAnsi="Times New Roman"/>
          <w:sz w:val="20"/>
        </w:rPr>
      </w:pPr>
      <w:r>
        <w:rPr>
          <w:rFonts w:ascii="Times New Roman" w:hAnsi="Times New Roman"/>
          <w:sz w:val="20"/>
        </w:rPr>
        <w:t xml:space="preserve">Aura Biosciences, Inc. </w:t>
      </w:r>
    </w:p>
    <w:p>
      <w:pPr>
        <w:pStyle w:val="TextBody"/>
        <w:bidi w:val="0"/>
        <w:spacing w:before="0" w:after="0"/>
        <w:jc w:val="left"/>
        <w:rPr>
          <w:rFonts w:ascii="Times New Roman" w:hAnsi="Times New Roman"/>
          <w:sz w:val="20"/>
        </w:rPr>
      </w:pPr>
      <w:r>
        <w:rPr>
          <w:rFonts w:ascii="Times New Roman" w:hAnsi="Times New Roman"/>
          <w:sz w:val="20"/>
        </w:rPr>
        <w:t xml:space="preserve">80 Guest Street, Boston, MA 02135 </w:t>
      </w:r>
    </w:p>
    <w:p>
      <w:pPr>
        <w:pStyle w:val="TextBody"/>
        <w:bidi w:val="0"/>
        <w:spacing w:before="240" w:after="0"/>
        <w:jc w:val="left"/>
        <w:rPr>
          <w:rFonts w:ascii="Times New Roman" w:hAnsi="Times New Roman"/>
          <w:sz w:val="20"/>
        </w:rPr>
      </w:pPr>
      <w:r>
        <w:rPr>
          <w:rFonts w:ascii="Times New Roman" w:hAnsi="Times New Roman"/>
          <w:sz w:val="20"/>
        </w:rPr>
        <w:t xml:space="preserve">Re: 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As counsel to Aura Biosciences, Inc., a Delaware corporation (the “</w:t>
      </w:r>
      <w:r>
        <w:rPr>
          <w:rFonts w:ascii="Times New Roman" w:hAnsi="Times New Roman"/>
          <w:b/>
          <w:i/>
          <w:sz w:val="20"/>
        </w:rPr>
        <w:t>Company</w:t>
      </w:r>
      <w:r>
        <w:rPr>
          <w:rFonts w:ascii="Times New Roman" w:hAnsi="Times New Roman"/>
          <w:sz w:val="20"/>
        </w:rPr>
        <w:t>”), we have examined the Registration Statement on Form S-3 to be filed by the Company with the Securities and Exchange Commission (the “</w:t>
      </w:r>
      <w:r>
        <w:rPr>
          <w:rFonts w:ascii="Times New Roman" w:hAnsi="Times New Roman"/>
          <w:b/>
          <w:i/>
          <w:sz w:val="20"/>
        </w:rPr>
        <w:t>Commission</w:t>
      </w:r>
      <w:r>
        <w:rPr>
          <w:rFonts w:ascii="Times New Roman" w:hAnsi="Times New Roman"/>
          <w:sz w:val="20"/>
        </w:rPr>
        <w:t>”) on or about August 11, 2026 (the “</w:t>
      </w:r>
      <w:r>
        <w:rPr>
          <w:rFonts w:ascii="Times New Roman" w:hAnsi="Times New Roman"/>
          <w:b/>
          <w:i/>
          <w:sz w:val="20"/>
        </w:rPr>
        <w:t>Registration Statement</w:t>
      </w:r>
      <w:r>
        <w:rPr>
          <w:rFonts w:ascii="Times New Roman" w:hAnsi="Times New Roman"/>
          <w:sz w:val="20"/>
        </w:rPr>
        <w:t>”) in connection with the registration under the Securities Act of 1933, as amended (the “</w:t>
      </w:r>
      <w:r>
        <w:rPr>
          <w:rFonts w:ascii="Times New Roman" w:hAnsi="Times New Roman"/>
          <w:b/>
          <w:i/>
          <w:sz w:val="20"/>
        </w:rPr>
        <w:t>Securities Act</w:t>
      </w:r>
      <w:r>
        <w:rPr>
          <w:rFonts w:ascii="Times New Roman" w:hAnsi="Times New Roman"/>
          <w:sz w:val="20"/>
        </w:rPr>
        <w:t>”), of the offering and sale from time to time of up to $500,000,000 aggregate offering amount of (i) shares of the Company’s common stock, $0.001 par value per share (the “</w:t>
      </w:r>
      <w:r>
        <w:rPr>
          <w:rFonts w:ascii="Times New Roman" w:hAnsi="Times New Roman"/>
          <w:b/>
          <w:i/>
          <w:sz w:val="20"/>
        </w:rPr>
        <w:t>Common Stock</w:t>
      </w:r>
      <w:r>
        <w:rPr>
          <w:rFonts w:ascii="Times New Roman" w:hAnsi="Times New Roman"/>
          <w:sz w:val="20"/>
        </w:rPr>
        <w:t>”), (ii) shares of the Company’s preferred stock, $0.00001 par value per share (the “</w:t>
      </w:r>
      <w:r>
        <w:rPr>
          <w:rFonts w:ascii="Times New Roman" w:hAnsi="Times New Roman"/>
          <w:b/>
          <w:i/>
          <w:sz w:val="20"/>
        </w:rPr>
        <w:t>Preferred Stock</w:t>
      </w:r>
      <w:r>
        <w:rPr>
          <w:rFonts w:ascii="Times New Roman" w:hAnsi="Times New Roman"/>
          <w:sz w:val="20"/>
        </w:rPr>
        <w:t>”), (iii) one or more series of debt securities (the “</w:t>
      </w:r>
      <w:r>
        <w:rPr>
          <w:rFonts w:ascii="Times New Roman" w:hAnsi="Times New Roman"/>
          <w:b/>
          <w:i/>
          <w:sz w:val="20"/>
        </w:rPr>
        <w:t>Debt Securities</w:t>
      </w:r>
      <w:r>
        <w:rPr>
          <w:rFonts w:ascii="Times New Roman" w:hAnsi="Times New Roman"/>
          <w:sz w:val="20"/>
        </w:rPr>
        <w:t>”) issuable pursuant to an indenture (the “</w:t>
      </w:r>
      <w:r>
        <w:rPr>
          <w:rFonts w:ascii="Times New Roman" w:hAnsi="Times New Roman"/>
          <w:b/>
          <w:i/>
          <w:sz w:val="20"/>
        </w:rPr>
        <w:t>Indenture</w:t>
      </w:r>
      <w:r>
        <w:rPr>
          <w:rFonts w:ascii="Times New Roman" w:hAnsi="Times New Roman"/>
          <w:sz w:val="20"/>
        </w:rPr>
        <w:t>”) by and between the Company and a financial institution to be identified therein as trustee (the “</w:t>
      </w:r>
      <w:r>
        <w:rPr>
          <w:rFonts w:ascii="Times New Roman" w:hAnsi="Times New Roman"/>
          <w:b/>
          <w:i/>
          <w:sz w:val="20"/>
        </w:rPr>
        <w:t>Trustee</w:t>
      </w:r>
      <w:r>
        <w:rPr>
          <w:rFonts w:ascii="Times New Roman" w:hAnsi="Times New Roman"/>
          <w:sz w:val="20"/>
        </w:rPr>
        <w:t>”), (iv) warrants to purchase Common Stock, Preferred Stock and/or Debt Securities (the “</w:t>
      </w:r>
      <w:r>
        <w:rPr>
          <w:rFonts w:ascii="Times New Roman" w:hAnsi="Times New Roman"/>
          <w:b/>
          <w:i/>
          <w:sz w:val="20"/>
        </w:rPr>
        <w:t>Warrants</w:t>
      </w:r>
      <w:r>
        <w:rPr>
          <w:rFonts w:ascii="Times New Roman" w:hAnsi="Times New Roman"/>
          <w:sz w:val="20"/>
        </w:rPr>
        <w:t>”), and/or (v) units consisting of any combination of such foregoing securities described in clauses (i) through (iv) above (the “</w:t>
      </w:r>
      <w:r>
        <w:rPr>
          <w:rFonts w:ascii="Times New Roman" w:hAnsi="Times New Roman"/>
          <w:b/>
          <w:i/>
          <w:sz w:val="20"/>
        </w:rPr>
        <w:t>Units</w:t>
      </w:r>
      <w:r>
        <w:rPr>
          <w:rFonts w:ascii="Times New Roman" w:hAnsi="Times New Roman"/>
          <w:sz w:val="20"/>
        </w:rPr>
        <w:t>”). The Common Stock, the Preferred Stock, the Debt Securities, the Warrants, and the Units are collectively referred to herein as the “</w:t>
      </w:r>
      <w:r>
        <w:rPr>
          <w:rFonts w:ascii="Times New Roman" w:hAnsi="Times New Roman"/>
          <w:b/>
          <w:i/>
          <w:sz w:val="20"/>
        </w:rPr>
        <w:t>Securities</w:t>
      </w:r>
      <w:r>
        <w:rPr>
          <w:rFonts w:ascii="Times New Roman" w:hAnsi="Times New Roman"/>
          <w:sz w:val="20"/>
        </w:rPr>
        <w:t>.” The Securities may be sold from time to time by the Company as set forth in the Registration Statement, the base prospectus contained within the Registration Statement (the “</w:t>
      </w:r>
      <w:r>
        <w:rPr>
          <w:rFonts w:ascii="Times New Roman" w:hAnsi="Times New Roman"/>
          <w:b/>
          <w:i/>
          <w:sz w:val="20"/>
        </w:rPr>
        <w:t>Prospectus</w:t>
      </w:r>
      <w:r>
        <w:rPr>
          <w:rFonts w:ascii="Times New Roman" w:hAnsi="Times New Roman"/>
          <w:sz w:val="20"/>
        </w:rPr>
        <w:t xml:space="preserve">”) and supplements to the Prospectus. The Company has informed us that the Company intends to issue the Securities from time to time on a delayed or continuous basis pursuant to Rule 415 under the Securities Act. </w:t>
      </w:r>
    </w:p>
    <w:p>
      <w:pPr>
        <w:pStyle w:val="TextBody"/>
        <w:bidi w:val="0"/>
        <w:spacing w:before="240" w:after="0"/>
        <w:jc w:val="left"/>
        <w:rPr>
          <w:rFonts w:ascii="Times New Roman" w:hAnsi="Times New Roman"/>
          <w:sz w:val="20"/>
        </w:rPr>
      </w:pPr>
      <w:r>
        <w:rPr>
          <w:rFonts w:ascii="Times New Roman" w:hAnsi="Times New Roman"/>
          <w:sz w:val="20"/>
        </w:rPr>
        <w:t>As to matters of fact relevant to the opinions rendered herein, we have examined such documents, certificates and other instruments which we have deemed necessary or advisable, including a certificate addressed to us and dated the date hereof executed by the Company (the “</w:t>
      </w:r>
      <w:r>
        <w:rPr>
          <w:rFonts w:ascii="Times New Roman" w:hAnsi="Times New Roman"/>
          <w:b/>
          <w:i/>
          <w:sz w:val="20"/>
        </w:rPr>
        <w:t>Opinion Certificate</w:t>
      </w:r>
      <w:r>
        <w:rPr>
          <w:rFonts w:ascii="Times New Roman" w:hAnsi="Times New Roman"/>
          <w:sz w:val="20"/>
        </w:rPr>
        <w:t xml:space="preserve">”).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opinions set forth below. We have not considered parol evidence in connection with any of the agreements or instruments reviewed by us in connection with this letter.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hAnsi="Times New Roman"/>
          <w:b/>
          <w:i/>
          <w:sz w:val="20"/>
        </w:rPr>
        <w:t>EDGAR</w:t>
      </w:r>
      <w:r>
        <w:rPr>
          <w:rFonts w:ascii="Times New Roman" w:hAnsi="Times New Roman"/>
          <w:sz w:val="20"/>
        </w:rPr>
        <w:t xml:space="preserve">”), except for required EDGAR formatting changes, to physical copies submitted for our examination. </w:t>
      </w:r>
    </w:p>
    <w:p>
      <w:pPr>
        <w:pStyle w:val="TextBody"/>
        <w:bidi w:val="0"/>
        <w:spacing w:before="240" w:after="0"/>
        <w:jc w:val="left"/>
        <w:rPr>
          <w:rFonts w:ascii="Times New Roman" w:hAnsi="Times New Roman"/>
          <w:sz w:val="20"/>
        </w:rPr>
      </w:pPr>
      <w:r>
        <w:rPr>
          <w:rFonts w:ascii="Times New Roman" w:hAnsi="Times New Roman"/>
          <w:sz w:val="20"/>
        </w:rPr>
        <w:t>We advise you that we have also examined (i) the sales agreement prospectus supplement contained within the Registration Statement (together with the Prospectus, the “</w:t>
      </w:r>
      <w:r>
        <w:rPr>
          <w:rFonts w:ascii="Times New Roman" w:hAnsi="Times New Roman"/>
          <w:b/>
          <w:i/>
          <w:sz w:val="20"/>
        </w:rPr>
        <w:t>Sales Agreement Prospectus</w:t>
      </w:r>
      <w:r>
        <w:rPr>
          <w:rFonts w:ascii="Times New Roman" w:hAnsi="Times New Roman"/>
          <w:sz w:val="20"/>
        </w:rPr>
        <w:t>”) relating to the sale by the Company through Jefferies LLC (“</w:t>
      </w:r>
      <w:r>
        <w:rPr>
          <w:rFonts w:ascii="Times New Roman" w:hAnsi="Times New Roman"/>
          <w:b/>
          <w:i/>
          <w:sz w:val="20"/>
        </w:rPr>
        <w:t>Jefferies</w:t>
      </w:r>
      <w:r>
        <w:rPr>
          <w:rFonts w:ascii="Times New Roman" w:hAnsi="Times New Roman"/>
          <w:sz w:val="20"/>
        </w:rPr>
        <w:t>”), as the sales agent (the “</w:t>
      </w:r>
      <w:r>
        <w:rPr>
          <w:rFonts w:ascii="Times New Roman" w:hAnsi="Times New Roman"/>
          <w:b/>
          <w:i/>
          <w:sz w:val="20"/>
        </w:rPr>
        <w:t>Sales Agent</w:t>
      </w:r>
      <w:r>
        <w:rPr>
          <w:rFonts w:ascii="Times New Roman" w:hAnsi="Times New Roman"/>
          <w:sz w:val="20"/>
        </w:rPr>
        <w:t>”), from time to time of shares of Common Stock (the “</w:t>
      </w:r>
      <w:r>
        <w:rPr>
          <w:rFonts w:ascii="Times New Roman" w:hAnsi="Times New Roman"/>
          <w:b/>
          <w:i/>
          <w:sz w:val="20"/>
        </w:rPr>
        <w:t>Placement Shares</w:t>
      </w:r>
      <w:r>
        <w:rPr>
          <w:rFonts w:ascii="Times New Roman" w:hAnsi="Times New Roman"/>
          <w:sz w:val="20"/>
        </w:rPr>
        <w:t>”) having an aggregate maximum offering price of up to $200,000,000 pursuant to the Registration Statement and the Sales Agreement Prospectus, and (ii) that certain Sales Agreement, dated as of August 11, 2026, by and between the Company and the Sales Agent (the “</w:t>
      </w:r>
      <w:r>
        <w:rPr>
          <w:rFonts w:ascii="Times New Roman" w:hAnsi="Times New Roman"/>
          <w:b/>
          <w:i/>
          <w:sz w:val="20"/>
        </w:rPr>
        <w:t>Sales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opinions in this letter are limited to the existing General Corporation Law of the State of Delaware now in effect and, as to the Debt Securities, Warrants, Subscription Rights and Units constituting valid and binding obligations of the Company, the existing internal laws of the State of New York now in effect (the “</w:t>
      </w:r>
      <w:r>
        <w:rPr>
          <w:rFonts w:ascii="Times New Roman" w:hAnsi="Times New Roman"/>
          <w:b/>
          <w:i/>
          <w:sz w:val="20"/>
        </w:rPr>
        <w:t>Applicable Laws</w:t>
      </w:r>
      <w:r>
        <w:rPr>
          <w:rFonts w:ascii="Times New Roman" w:hAnsi="Times New Roman"/>
          <w:sz w:val="20"/>
        </w:rPr>
        <w:t xml:space="preserve">”). We express no opinion with respect to any other laws. </w:t>
      </w:r>
    </w:p>
    <w:p>
      <w:pPr>
        <w:pStyle w:val="TextBody"/>
        <w:bidi w:val="0"/>
        <w:spacing w:before="240" w:after="0"/>
        <w:jc w:val="left"/>
        <w:rPr>
          <w:rFonts w:ascii="Times New Roman" w:hAnsi="Times New Roman"/>
          <w:sz w:val="20"/>
        </w:rPr>
      </w:pPr>
      <w:r>
        <w:rPr>
          <w:rFonts w:ascii="Times New Roman" w:hAnsi="Times New Roman"/>
          <w:sz w:val="20"/>
        </w:rPr>
        <w:t>In connection with our opinions expressed below, we have assumed that, (i) at or prior to the time of the delivery of any of the Securities, including the Placement Shares, there will not have occurred any change in the law or the facts affecting the validity of the Securities, (ii) the Registration Statement and any amendments (including any necessary post-effective amendments) will have been declared effective under the Securities Act, (iii) at the time of the offer, issuance and sale of any Securities, including the Placement Shares, no stop order suspending the Registration Statement’s effectiveness will have been issued and remain in effect, (iv) no future amendments will be made to the Company’s current certificate of incorporation (as amended from time to time, the “</w:t>
      </w:r>
      <w:r>
        <w:rPr>
          <w:rFonts w:ascii="Times New Roman" w:hAnsi="Times New Roman"/>
          <w:b/>
          <w:i/>
          <w:sz w:val="20"/>
        </w:rPr>
        <w:t>Certificate of Incorporation</w:t>
      </w:r>
      <w:r>
        <w:rPr>
          <w:rFonts w:ascii="Times New Roman" w:hAnsi="Times New Roman"/>
          <w:sz w:val="20"/>
        </w:rPr>
        <w:t>”), or the Company’s Amended and Restated Bylaws (the “</w:t>
      </w:r>
      <w:r>
        <w:rPr>
          <w:rFonts w:ascii="Times New Roman" w:hAnsi="Times New Roman"/>
          <w:b/>
          <w:i/>
          <w:sz w:val="20"/>
        </w:rPr>
        <w:t>Bylaws</w:t>
      </w:r>
      <w:r>
        <w:rPr>
          <w:rFonts w:ascii="Times New Roman" w:hAnsi="Times New Roman"/>
          <w:sz w:val="20"/>
        </w:rPr>
        <w:t>” and, together with the Certificate of Incorporation, the “</w:t>
      </w:r>
      <w:r>
        <w:rPr>
          <w:rFonts w:ascii="Times New Roman" w:hAnsi="Times New Roman"/>
          <w:b/>
          <w:i/>
          <w:sz w:val="20"/>
        </w:rPr>
        <w:t>Charter Documents</w:t>
      </w:r>
      <w:r>
        <w:rPr>
          <w:rFonts w:ascii="Times New Roman" w:hAnsi="Times New Roman"/>
          <w:sz w:val="20"/>
        </w:rPr>
        <w:t xml:space="preserve">”) that would be in conflict with or inconsistent with the Company’s right and ability to issue the Securities, including the Placement Shares, (v) at the time of the issuance and sale of the Securities, including the Placement Shares, the Company will be validly existing as a corporation and in good standing under the laws of the State of Delaware; and (vi) at the time of each offer, issuance and sale of any Securities, including the Placement Shares, the Company will have a sufficient number of authorized and unissued and unreserved shares of the applicable class or series of its capital stock included in (or purchasable upon exercise or conversion of) the Securities, including the Placement Shares, so issued and sold (after taking into account all other outstanding securities of the Company which may require the Company to issue shares of such applicable class or series) to be able to issue all such shares.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qualified by, and is subject to, and we render no opinion with respect to, the following limitations and exceptions to the enforceability of the Debt Securities, the Warrants, and the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laws of bankruptcy, insolvency, reorganization, arrangement, moratorium, fraudulent conveyance, assignment for the benefit of creditors, and other similar laws now or hereinafter in effect relating to or affecting the rights and remedies of creditors, including the effect of statutory or other laws regarding fraudulent transfers or preferential transfers.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general principles of equity and similar principles, including, without limitation, concepts of materiality, reasonableness, good faith and fair dealing, public policy and unconscionability, and the possible unavailability of specific performance, injunctive relief, or other equitable remedies, regardless of whether considered in a proceeding in equity or at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Debt Securities, the effect of laws relating to usury or permissible rates of interest for loans, forbearances or the use of money.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and exceptions contained herein, we are of the following opinion: </w:t>
      </w:r>
    </w:p>
    <w:p>
      <w:pPr>
        <w:pStyle w:val="TextBody"/>
        <w:bidi w:val="0"/>
        <w:spacing w:before="240" w:after="0"/>
        <w:jc w:val="left"/>
        <w:rPr>
          <w:rFonts w:ascii="Times New Roman" w:hAnsi="Times New Roman"/>
          <w:sz w:val="20"/>
        </w:rPr>
      </w:pPr>
      <w:r>
        <w:rPr>
          <w:rFonts w:ascii="Times New Roman" w:hAnsi="Times New Roman"/>
          <w:sz w:val="20"/>
        </w:rPr>
        <w:t>1. With respect to the shares of Common Stock registered pursuant to the Registration Statement (other than the Placement Shares), when (a) the issuance of and the terms of the offering of such shares of Common Stock and related matters have been duly authorized by all required corporate action of the Company’s Board of Directors, or a duly authorized committee thereof (the “</w:t>
      </w:r>
      <w:r>
        <w:rPr>
          <w:rFonts w:ascii="Times New Roman" w:hAnsi="Times New Roman"/>
          <w:b/>
          <w:i/>
          <w:sz w:val="20"/>
        </w:rPr>
        <w:t>Board</w:t>
      </w:r>
      <w:r>
        <w:rPr>
          <w:rFonts w:ascii="Times New Roman" w:hAnsi="Times New Roman"/>
          <w:sz w:val="20"/>
        </w:rPr>
        <w:t xml:space="preserve">”), and, if required, of the stockholders of the Company in accordance with the Charter Documents and Applicable Laws and (b) if required, certificates representing the shares of Common Stock have been duly executed, countersigned, registered and delivered in accordance with the applicable definitive purchase, underwriting or similar agreement approved by the Board, or upon the conversion or exercise of any Security offered under the Registration Statement, and upon payment of the consideration therefor (in an amount not less than the par value of the Common Stock) provided for therein, then such shares of Common Stock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2. With respect to any particular series of shares of Preferred Stock registered pursuant to the Registration Statement, when (a) the issuance and terms of such shares of Preferred Stock, the terms of the offering thereof and related matters, including the adoption of a certificate of designation (a “</w:t>
      </w:r>
      <w:r>
        <w:rPr>
          <w:rFonts w:ascii="Times New Roman" w:hAnsi="Times New Roman"/>
          <w:b/>
          <w:i/>
          <w:sz w:val="20"/>
        </w:rPr>
        <w:t>Certificate</w:t>
      </w:r>
      <w:r>
        <w:rPr>
          <w:rFonts w:ascii="Times New Roman" w:hAnsi="Times New Roman"/>
          <w:sz w:val="20"/>
        </w:rPr>
        <w:t xml:space="preserve">”) relating to such Preferred Stock conforming to the Charter Documents and the General Corporation Law of the State of Delaware, and the filing of such Certificate with the Secretary of State of the State of Delaware (or the filing of an amendment to the Certificate of Incorporation to similar effect), have been duly authorized by all required corporate action of the Board and, if required, of the stockholders of the Company in accordance with the Charter Documents and Applicable Laws and (b) if required, certificates representing the shares of Preferred Stock have been duly executed, countersigned, registered and delivered in accordance with the applicable definitive purchase, underwriting or similar agreement approved by the Board, or upon conversion or exercise of any other Security offered under the Registration Statement, and upon payment of the consideration therefor (in an amount not less than the par value per share of such Preferred Stock) provided for therein, then such shares of Preferred Stock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3. With respect to any Debt Securities registered pursuant to the Registration Statement, when (a) the issuance of such Debt Securities has been duly authorized by all required corporate action of the Board and, if required, of the stockholders of the Company in accordance with the Charter Documents and Applicable Laws, (b) an Indenture relating to such Debt Securities in the form filed with the Registration Statement as an exhibit has been duly authorized and validly executed and delivered by each of the Company and the Trustee, (c) the specific form and terms of the Debt Securities have been duly established in accordance with the Indenture, duly authorized pursuant to resolutions duly adopted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the Board, and validly executed, authenticated, issued, and delivered in accordance with the Indenture and the applicable definitive purchase, underwriting or similar agreement, in the manner and for the consideration approved by the Board and stated in the prospectus supplement relating thereto (as amended as of the date of such issuance, sale and delivery), or upon the exercise of Warrants to purchase Debt Securities, upon payment of the consideration therefor provided for therein, then such Debt Securities will be validly issued and will constitute valid and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4. With respect to any Warrants registered pursuant to the Registration Statement, when (a) the issuance and terms of such Warrants, the terms, execution and delivery of any warrant agreement relating to the Warrants (“</w:t>
      </w:r>
      <w:r>
        <w:rPr>
          <w:rFonts w:ascii="Times New Roman" w:hAnsi="Times New Roman"/>
          <w:b/>
          <w:i/>
          <w:sz w:val="20"/>
        </w:rPr>
        <w:t>Warrant Agreement</w:t>
      </w:r>
      <w:r>
        <w:rPr>
          <w:rFonts w:ascii="Times New Roman" w:hAnsi="Times New Roman"/>
          <w:sz w:val="20"/>
        </w:rPr>
        <w:t xml:space="preserve">”), the terms of the offering thereof and related matters have been duly authorized by all required corporate action of the Board and, if required, of the stockholders of the Company in accordance with the Charter Documents and Applicable Laws, (b) the Warrant Agreement has been duly authorized and validly executed and delivered by the Company, and (c) such Warrants have been duly executed, issued and delivered by the Company in accordance with the provisions of the Warrant Agreement and the applicable definitive purchase, underwriting or similar agreement approved by the Board, upon payment of the consideration therefor provided for therein, then such Warrants will constitute valid and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5. With respect to any Units registered pursuant to the Registration Statement, when (a) the conditions outlined in the immediately preceding paragraphs (1) through (4) that apply to the Securities that make up such Units are all met, (b) the issuance and terms of such Units, the terms, execution and delivery of the unit purchase agreement relating to such Units (“</w:t>
      </w:r>
      <w:r>
        <w:rPr>
          <w:rFonts w:ascii="Times New Roman" w:hAnsi="Times New Roman"/>
          <w:b/>
          <w:i/>
          <w:sz w:val="20"/>
        </w:rPr>
        <w:t>Unit Agreement</w:t>
      </w:r>
      <w:r>
        <w:rPr>
          <w:rFonts w:ascii="Times New Roman" w:hAnsi="Times New Roman"/>
          <w:sz w:val="20"/>
        </w:rPr>
        <w:t xml:space="preserve">”), the terms of the offering thereof and related matters have been duly authorized by all required corporate action of the Board and, if required, of the stockholders of the Company in accordance with the Charter Documents and Applicable Laws, (c) the Unit Agreement has been duly authorized and validly executed and delivered by the Company, and (d) such Units have been duly executed, issued and delivered by the Company in accordance with the provisions of the Unit Agreement and the applicable definitive purchase, underwriting or similar agreement approved by the Board, upon payment of the consideration therefor provided for therein, then such Units will constitute valid and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6. The Placement Shares, to be issued and sold by the Company, have been duly authorized for issuance and, when issued, sold and delivered for consideration (of not less than par value per share of the Common Stock) and in the manner contemplated by the Sales Agreement and the Sales Agreement Prospectus and in accordance with the resolutions duly adopted and to be duly adopted by the Board and to be duly adopted by the placement committee of the Board with respect to the offer, sale and issuance of the Placement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opinions expressed above, we have assumed that each of the Debt Securities and the Indenture, Warrant Agreement, Subscription Rights Agreement and Unit Agreement governing such Securities are legally valid and binding obligations of each party thereto other than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this opinion as an exhibit to the Registration Statement and further consent to all references to us, if any, in the Registration Statement, the Prospectus, and the Sales Agreement Prospectus constituting parts thereof and any amendments thereto. In giving this consent we do not thereby admit that we come within the category of persons whose consent is required under Section 7 of the Securities Act or the rules and regulations of the Commission thereunder.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i/>
          <w:sz w:val="20"/>
        </w:rPr>
      </w:pPr>
      <w:r>
        <w:rPr>
          <w:rFonts w:ascii="Times New Roman" w:hAnsi="Times New Roman"/>
          <w:i/>
          <w:sz w:val="20"/>
        </w:rPr>
        <w:t xml:space="preserve">[Concluding Paragraph Follows on Next 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opinion is intended solely for use in connection with the issuance and sale of the Securities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Fenwick &amp; West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FENWICK &amp; WEST LLP</w:t>
            </w:r>
          </w:p>
        </w:tc>
      </w:tr>
    </w:tbl>
    <w:p>
      <w:pPr>
        <w:pStyle w:val="TextBody"/>
        <w:bidi w:val="0"/>
        <w:spacing w:before="0" w:after="0"/>
        <w:jc w:val="right"/>
        <w:rPr>
          <w:rFonts w:ascii="Times New Roman" w:hAnsi="Times New Roman"/>
          <w:b/>
          <w:sz w:val="20"/>
        </w:rPr>
      </w:pPr>
      <w:bookmarkStart w:id="37" w:name="d140546dex231.htm"/>
      <w:bookmarkStart w:id="38" w:name="ksd140546dex231"/>
      <w:bookmarkEnd w:id="37"/>
      <w:bookmarkEnd w:id="3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of our firm under the caption “Experts” in the Registration Statement on Form S-3 and related Prospectus of Aura Biosciences, Inc. for the registration of shares of its debt securities, common stock, preferred stock, units and warrants and to the incorporation by reference therein of our report dated March 30, 2026, with respect to the consolidated financial statements of Aura Biosciences, Inc.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August 11, 2026 </w:t>
      </w:r>
    </w:p>
    <w:p>
      <w:pPr>
        <w:pStyle w:val="Normal"/>
        <w:bidi w:val="0"/>
        <w:spacing w:before="0" w:after="0"/>
        <w:jc w:val="left"/>
        <w:rPr>
          <w:sz w:val="4"/>
          <w:szCs w:val="4"/>
        </w:rPr>
      </w:pPr>
      <w:r>
        <w:rPr>
          <w:sz w:val="4"/>
          <w:szCs w:val="4"/>
        </w:rPr>
      </w:r>
      <w:bookmarkStart w:id="39" w:name="d140546dexfilingfees.htm"/>
      <w:bookmarkStart w:id="40" w:name="ksd140546dexfilingfees"/>
      <w:bookmarkStart w:id="41" w:name="d140546dexfilingfees.htm"/>
      <w:bookmarkStart w:id="42" w:name="ksd140546dexfilingfees"/>
      <w:bookmarkEnd w:id="41"/>
      <w:bookmarkEnd w:id="42"/>
      <w:r>
        <w:br w:type="page"/>
      </w:r>
    </w:p>
    <w:tbl>
      <w:tblPr>
        <w:tblW w:w="3572" w:type="dxa"/>
        <w:jc w:val="left"/>
        <w:tblInd w:w="0" w:type="dxa"/>
        <w:tblLayout w:type="fixed"/>
        <w:tblCellMar>
          <w:top w:w="28" w:type="dxa"/>
          <w:left w:w="28" w:type="dxa"/>
          <w:bottom w:w="28" w:type="dxa"/>
          <w:right w:w="28" w:type="dxa"/>
        </w:tblCellMar>
      </w:tblPr>
      <w:tblGrid>
        <w:gridCol w:w="3418"/>
        <w:gridCol w:w="154"/>
      </w:tblGrid>
      <w:tr>
        <w:trPr/>
        <w:tc>
          <w:tcPr>
            <w:tcW w:w="3572"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8"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8" w:type="dxa"/>
            <w:tcBorders/>
            <w:vAlign w:val="center"/>
          </w:tcPr>
          <w:p>
            <w:pPr>
              <w:pStyle w:val="TableContents"/>
              <w:bidi w:val="0"/>
              <w:spacing w:before="0" w:after="283"/>
              <w:jc w:val="left"/>
              <w:rPr>
                <w:b/>
              </w:rPr>
            </w:pPr>
            <w:r>
              <w:rPr>
                <w:b/>
              </w:rPr>
              <w:t xml:space="preserve">Aura Biosciences,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04" w:type="dxa"/>
        <w:jc w:val="left"/>
        <w:tblInd w:w="0" w:type="dxa"/>
        <w:tblLayout w:type="fixed"/>
        <w:tblCellMar>
          <w:top w:w="28" w:type="dxa"/>
          <w:left w:w="28" w:type="dxa"/>
          <w:bottom w:w="28" w:type="dxa"/>
          <w:right w:w="28" w:type="dxa"/>
        </w:tblCellMar>
      </w:tblPr>
      <w:tblGrid>
        <w:gridCol w:w="1126"/>
        <w:gridCol w:w="226"/>
        <w:gridCol w:w="946"/>
        <w:gridCol w:w="1021"/>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par value $0.00001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par value $0.00001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par value $0.00001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$ 500,000,000.00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$ 69,050.00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3" w:name="MaxAggtOfferingPrice"/>
            <w:bookmarkEnd w:id="43"/>
            <w:r>
              <w:rPr/>
              <w:t xml:space="preserve">$ 500,000,000.00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4" w:name="TotalFeeAmt"/>
            <w:bookmarkEnd w:id="44"/>
            <w:r>
              <w:rPr/>
              <w:t xml:space="preserve">$ 69,050.00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5" w:name="TotalPreviouslyPaidAmt"/>
            <w:bookmarkEnd w:id="4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6" w:name="TotalOffsetAmt"/>
            <w:bookmarkEnd w:id="4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7" w:name="NetFeeAmt"/>
            <w:bookmarkEnd w:id="47"/>
            <w:r>
              <w:rPr/>
              <w:t xml:space="preserve">$ 69,050.00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349"/>
        <w:gridCol w:w="8658"/>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(1a) The amount to be registered consists of an indeterminate amount of common stock, preferred stock, debt securities, warrants and/or units. There is also being registered hereunder such indeterminate number of (i) shares of common stock or other securities of the registrant as may be issued upon conversion of, or in exchange for, convertible or exchangeable debt securities and/or preferred stock registered hereby, or (ii) shares of common stock, preferred stock, debt securities or units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(the "Securities Act"), this registration statement on Form S-3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no event will the aggregate offering price of all types of securities issued by the registrant pursuant to this Registration Statement exceed $500,000,000. (1b) 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(1c) Estimated solely for purposes of calculating the amount of the registration fee pursuant to Rule 457(o) under the Securities Act. Rule 457(o) permits the registration fee to be calculated on the basis of the maximum aggregate offering price of all of the securities listed and, therefore, the table does not specify by each class information as to the amount to be registered or the proposed maximum offering price per unit. </w:t>
            </w:r>
          </w:p>
        </w:tc>
      </w:tr>
      <w:tr>
        <w:trPr/>
        <w:tc>
          <w:tcPr>
            <w:tcW w:w="1547" w:type="dxa"/>
            <w:gridSpan w:val="2"/>
            <w:tcBorders/>
            <w:vAlign w:val="center"/>
          </w:tcPr>
          <w:p>
            <w:pPr>
              <w:pStyle w:val="HorizontalLine"/>
              <w:pBdr>
                <w:bottom w:val="double" w:sz="2" w:space="0" w:color="808080"/>
              </w:pBdr>
              <w:bidi w:val="0"/>
              <w:spacing w:before="0" w:after="283"/>
              <w:jc w:val="left"/>
              <w:rPr/>
            </w:pPr>
            <w:r>
              <w:rPr/>
            </w:r>
          </w:p>
        </w:tc>
        <w:tc>
          <w:tcPr>
            <w:tcW w:w="8658"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See Note (1). (2a) Includes such indeterminate amount of preferred stock as may be issued from time to time at indeterminate prices or upon conversion of debt securities registered hereby, or upon exercise of warrants registered hereby, as the case may be. </w:t>
            </w:r>
          </w:p>
        </w:tc>
      </w:tr>
      <w:tr>
        <w:trPr/>
        <w:tc>
          <w:tcPr>
            <w:tcW w:w="1547" w:type="dxa"/>
            <w:gridSpan w:val="2"/>
            <w:tcBorders/>
            <w:vAlign w:val="center"/>
          </w:tcPr>
          <w:p>
            <w:pPr>
              <w:pStyle w:val="HorizontalLine"/>
              <w:pBdr>
                <w:bottom w:val="double" w:sz="2" w:space="0" w:color="808080"/>
              </w:pBdr>
              <w:bidi w:val="0"/>
              <w:spacing w:before="0" w:after="283"/>
              <w:jc w:val="left"/>
              <w:rPr/>
            </w:pPr>
            <w:r>
              <w:rPr/>
            </w:r>
          </w:p>
        </w:tc>
        <w:tc>
          <w:tcPr>
            <w:tcW w:w="8658"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See Note (1). (3a) Includes such indeterminate principal amount of debt securities as may be issued from time to time at indeterminate prices or upon exercise of warrants registered hereby, as the case may be. </w:t>
            </w:r>
          </w:p>
        </w:tc>
      </w:tr>
      <w:tr>
        <w:trPr/>
        <w:tc>
          <w:tcPr>
            <w:tcW w:w="1547" w:type="dxa"/>
            <w:gridSpan w:val="2"/>
            <w:tcBorders/>
            <w:vAlign w:val="center"/>
          </w:tcPr>
          <w:p>
            <w:pPr>
              <w:pStyle w:val="HorizontalLine"/>
              <w:pBdr>
                <w:bottom w:val="double" w:sz="2" w:space="0" w:color="808080"/>
              </w:pBdr>
              <w:bidi w:val="0"/>
              <w:spacing w:before="0" w:after="283"/>
              <w:jc w:val="left"/>
              <w:rPr/>
            </w:pPr>
            <w:r>
              <w:rPr/>
            </w:r>
          </w:p>
        </w:tc>
        <w:tc>
          <w:tcPr>
            <w:tcW w:w="8658"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7" w:type="dxa"/>
            <w:gridSpan w:val="2"/>
            <w:tcBorders/>
            <w:vAlign w:val="center"/>
          </w:tcPr>
          <w:p>
            <w:pPr>
              <w:pStyle w:val="TableContents"/>
              <w:bidi w:val="0"/>
              <w:spacing w:before="0" w:after="283"/>
              <w:jc w:val="left"/>
              <w:rPr/>
            </w:pPr>
            <w:r>
              <w:rPr/>
              <w:t xml:space="preserve">See Note (1). (4a) Warrants may be sold separately or together with any of the securities registered hereby and may be exercisable for common stock, preferred stock, debt securities or units registered hereby. Because the warrants will provide a right only to purchase such securities offered hereunder, no additional registration fee is required. </w:t>
            </w:r>
          </w:p>
        </w:tc>
      </w:tr>
      <w:tr>
        <w:trPr/>
        <w:tc>
          <w:tcPr>
            <w:tcW w:w="1547" w:type="dxa"/>
            <w:gridSpan w:val="2"/>
            <w:tcBorders/>
            <w:vAlign w:val="center"/>
          </w:tcPr>
          <w:p>
            <w:pPr>
              <w:pStyle w:val="HorizontalLine"/>
              <w:pBdr>
                <w:bottom w:val="double" w:sz="2" w:space="0" w:color="808080"/>
              </w:pBdr>
              <w:bidi w:val="0"/>
              <w:spacing w:before="0" w:after="283"/>
              <w:jc w:val="left"/>
              <w:rPr/>
            </w:pPr>
            <w:r>
              <w:rPr/>
            </w:r>
          </w:p>
        </w:tc>
        <w:tc>
          <w:tcPr>
            <w:tcW w:w="8658"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7" w:type="dxa"/>
            <w:gridSpan w:val="2"/>
            <w:tcBorders/>
            <w:vAlign w:val="center"/>
          </w:tcPr>
          <w:p>
            <w:pPr>
              <w:pStyle w:val="TableContents"/>
              <w:bidi w:val="0"/>
              <w:spacing w:before="0" w:after="283"/>
              <w:jc w:val="left"/>
              <w:rPr/>
            </w:pPr>
            <w:r>
              <w:rPr/>
              <w:t xml:space="preserve">See Note (1). (5a) Each unit will be issued under a unit agreement and will represent an interest in two or more securities registered pursuant to this Registration Statement, which may or may not be separable from one another. Because the units will provide a right only to purchase or receive such securities offered hereunder, no additional registration fee is required. </w:t>
            </w:r>
          </w:p>
        </w:tc>
      </w:tr>
      <w:tr>
        <w:trPr/>
        <w:tc>
          <w:tcPr>
            <w:tcW w:w="1547" w:type="dxa"/>
            <w:gridSpan w:val="2"/>
            <w:tcBorders/>
            <w:vAlign w:val="center"/>
          </w:tcPr>
          <w:p>
            <w:pPr>
              <w:pStyle w:val="HorizontalLine"/>
              <w:pBdr>
                <w:bottom w:val="double" w:sz="2" w:space="0" w:color="808080"/>
              </w:pBdr>
              <w:bidi w:val="0"/>
              <w:spacing w:before="0" w:after="283"/>
              <w:jc w:val="left"/>
              <w:rPr/>
            </w:pPr>
            <w:r>
              <w:rPr/>
            </w:r>
          </w:p>
        </w:tc>
        <w:tc>
          <w:tcPr>
            <w:tcW w:w="8658"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7" w:type="dxa"/>
            <w:gridSpan w:val="2"/>
            <w:tcBorders/>
            <w:vAlign w:val="center"/>
          </w:tcPr>
          <w:p>
            <w:pPr>
              <w:pStyle w:val="TableContents"/>
              <w:bidi w:val="0"/>
              <w:spacing w:before="0" w:after="283"/>
              <w:jc w:val="left"/>
              <w:rPr/>
            </w:pPr>
            <w:r>
              <w:rPr/>
              <w:t xml:space="preserve">(1) (1a) The amount to be registered consists of an indeterminate amount of common stock, preferred stock, debt securities, warrants and/or units. There is also being registered hereunder such indeterminate number of (i) shares of common stock or other securities of the registrant as may be issued upon conversion of, or in exchange for, convertible or exchangeable debt securities and/or preferred stock registered hereby, or (ii) shares of common stock, preferred stock, debt securities or units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(the "Securities Act"), this registration statement on Form S-3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no event will the aggregate offering price of all types of securities issued by the registrant pursuant to this Registration Statement exceed $500,000,000. (1b) 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(1c) Estimated solely for purposes of calculating the amount of the registration fee pursuant to Rule 457(o) under the Securities Act. Rule 457(o) permits the registration fee to be calculated on the basis of the maximum aggregate offering price of all of the securities listed and, therefore, the table does not specify by each class information as to the amount to be registered or the proposed maximum offering price per unit. (6) See Note (1). (6a) Represents the maximum aggregate offering price of all securities registered hereunder. Pursuant to Rule 457(o) under the Securities Act, the registration fee has been calculated on the basis of the maximum aggregate offering price of $500,000,000, and the entire registration fee is being paid in connection with this Registration Statement. </w:t>
            </w:r>
          </w:p>
        </w:tc>
      </w:tr>
      <w:tr>
        <w:trPr/>
        <w:tc>
          <w:tcPr>
            <w:tcW w:w="1547" w:type="dxa"/>
            <w:gridSpan w:val="2"/>
            <w:tcBorders/>
            <w:vAlign w:val="center"/>
          </w:tcPr>
          <w:p>
            <w:pPr>
              <w:pStyle w:val="HorizontalLine"/>
              <w:pBdr>
                <w:bottom w:val="double" w:sz="2" w:space="0" w:color="808080"/>
              </w:pBdr>
              <w:bidi w:val="0"/>
              <w:spacing w:before="0" w:after="283"/>
              <w:jc w:val="left"/>
              <w:rPr/>
            </w:pPr>
            <w:r>
              <w:rPr/>
            </w:r>
          </w:p>
        </w:tc>
        <w:tc>
          <w:tcPr>
            <w:tcW w:w="865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501796/000119312526130401/aura-20251231.htm" TargetMode="External"/><Relationship Id="rId4" Type="http://schemas.openxmlformats.org/officeDocument/2006/relationships/hyperlink" Target="http://www.sec.gov/Archives/edgar/data/../../../ix?doc=/Archives/edgar/data/0001501796/000119312526163933/aura-20260417.htm" TargetMode="External"/><Relationship Id="rId5" Type="http://schemas.openxmlformats.org/officeDocument/2006/relationships/hyperlink" Target="http://www.sec.gov/Archives/edgar/data/../../../ix?doc=/Archives/edgar/data/0001501796/000119312526216808/aura-20260331.htm" TargetMode="External"/><Relationship Id="rId6" Type="http://schemas.openxmlformats.org/officeDocument/2006/relationships/hyperlink" Target="http://www.sec.gov/Archives/edgar/data/../../../ix?doc=/Archives/edgar/data/1501796/000119312526343429/aura-20260630.htm" TargetMode="External"/><Relationship Id="rId7" Type="http://schemas.openxmlformats.org/officeDocument/2006/relationships/hyperlink" Target="http://www.sec.gov/Archives/edgar/data/../../../ix?doc=/Archives/edgar/data/0001501796/000119312526130383/aura-20260330.htm" TargetMode="External"/><Relationship Id="rId8" Type="http://schemas.openxmlformats.org/officeDocument/2006/relationships/hyperlink" Target="http://www.sec.gov/Archives/edgar/data/../../../ix?doc=/Archives/edgar/data/0001501796/000119312526204049/d38347d8k.htm" TargetMode="External"/><Relationship Id="rId9" Type="http://schemas.openxmlformats.org/officeDocument/2006/relationships/hyperlink" Target="http://www.sec.gov/Archives/edgar/data/../../../ix?doc=/Archives/edgar/data/0001501796/000119312526206804/d133115d8k.htm" TargetMode="External"/><Relationship Id="rId10" Type="http://schemas.openxmlformats.org/officeDocument/2006/relationships/hyperlink" Target="http://www.sec.gov/Archives/edgar/data/../../../ix?doc=/Archives/edgar/data/0001501796/000119312526216743/aura-20260511.htm" TargetMode="External"/><Relationship Id="rId11" Type="http://schemas.openxmlformats.org/officeDocument/2006/relationships/hyperlink" Target="http://www.sec.gov/Archives/edgar/data/../../../ix?doc=/Archives/edgar/data/0001501796/000119312526267676/aura-20260611.htm" TargetMode="External"/><Relationship Id="rId12" Type="http://schemas.openxmlformats.org/officeDocument/2006/relationships/hyperlink" Target="http://www.sec.gov/Archives/edgar/data/../../../ix?doc=/Archives/edgar/data/0001501796/000119312526297992/aura-20260703.htm" TargetMode="External"/><Relationship Id="rId13" Type="http://schemas.openxmlformats.org/officeDocument/2006/relationships/hyperlink" Target="http://www.sec.gov/Archives/edgar/data/../../../ix?doc=/Archives/edgar/data/0001501796/000119312526335157/aura-20260805.htm" TargetMode="External"/><Relationship Id="rId14" Type="http://schemas.openxmlformats.org/officeDocument/2006/relationships/hyperlink" Target="http://www.sec.gov/Archives/edgar/data/../../../ix?doc=/Archives/edgar/data/1501796/000119312526343408/aura-20260811.htm" TargetMode="External"/><Relationship Id="rId15" Type="http://schemas.openxmlformats.org/officeDocument/2006/relationships/hyperlink" Target="http://www.sec.gov/Archives/edgar/data/1501796/000119312521307948/d243510d8a12b.htm" TargetMode="External"/><Relationship Id="rId16" Type="http://schemas.openxmlformats.org/officeDocument/2006/relationships/image" Target="media/image1.jpeg"/><Relationship Id="rId17" Type="http://schemas.openxmlformats.org/officeDocument/2006/relationships/hyperlink" Target="http://www.sec.gov/Archives/edgar/data/../../../ix?doc=/Archives/edgar/data/0001501796/000119312526130401/aura-20251231.htm" TargetMode="External"/><Relationship Id="rId18" Type="http://schemas.openxmlformats.org/officeDocument/2006/relationships/hyperlink" Target="http://www.sec.gov/Archives/edgar/data/../../../ix?doc=/Archives/edgar/data/0001501796/000119312526163933/aura-20260417.htm" TargetMode="External"/><Relationship Id="rId19" Type="http://schemas.openxmlformats.org/officeDocument/2006/relationships/hyperlink" Target="http://www.sec.gov/Archives/edgar/data/../../../ix?doc=/Archives/edgar/data/0001501796/000119312526216808/aura-20260331.htm" TargetMode="External"/><Relationship Id="rId20" Type="http://schemas.openxmlformats.org/officeDocument/2006/relationships/hyperlink" Target="http://www.sec.gov/Archives/edgar/data/../../../ix?doc=/Archives/edgar/data/1501796/000119312526343429/aura-20260630.htm" TargetMode="External"/><Relationship Id="rId21" Type="http://schemas.openxmlformats.org/officeDocument/2006/relationships/hyperlink" Target="http://www.sec.gov/Archives/edgar/data/../../../ix?doc=/Archives/edgar/data/0001501796/000119312526130383/aura-20260330.htm" TargetMode="External"/><Relationship Id="rId22" Type="http://schemas.openxmlformats.org/officeDocument/2006/relationships/hyperlink" Target="http://www.sec.gov/Archives/edgar/data/../../../ix?doc=/Archives/edgar/data/0001501796/000119312526204049/d38347d8k.htm" TargetMode="External"/><Relationship Id="rId23" Type="http://schemas.openxmlformats.org/officeDocument/2006/relationships/hyperlink" Target="http://www.sec.gov/Archives/edgar/data/../../../ix?doc=/Archives/edgar/data/0001501796/000119312526206804/d133115d8k.htm" TargetMode="External"/><Relationship Id="rId24" Type="http://schemas.openxmlformats.org/officeDocument/2006/relationships/hyperlink" Target="http://www.sec.gov/Archives/edgar/data/../../../ix?doc=/Archives/edgar/data/0001501796/000119312526216743/aura-20260511.htm" TargetMode="External"/><Relationship Id="rId25" Type="http://schemas.openxmlformats.org/officeDocument/2006/relationships/hyperlink" Target="http://www.sec.gov/Archives/edgar/data/../../../ix?doc=/Archives/edgar/data/0001501796/000119312526267676/aura-20260611.htm" TargetMode="External"/><Relationship Id="rId26" Type="http://schemas.openxmlformats.org/officeDocument/2006/relationships/hyperlink" Target="http://www.sec.gov/Archives/edgar/data/../../../ix?doc=/Archives/edgar/data/0001501796/000119312526297992/aura-20260703.htm" TargetMode="External"/><Relationship Id="rId27" Type="http://schemas.openxmlformats.org/officeDocument/2006/relationships/hyperlink" Target="http://www.sec.gov/Archives/edgar/data/../../../ix?doc=/Archives/edgar/data/0001501796/000119312526335157/aura-20260805.htm" TargetMode="External"/><Relationship Id="rId28" Type="http://schemas.openxmlformats.org/officeDocument/2006/relationships/hyperlink" Target="http://www.sec.gov/Archives/edgar/data/../../../ix?doc=/Archives/edgar/data/1501796/000119312526343408/aura-20260811.htm" TargetMode="External"/><Relationship Id="rId29" Type="http://schemas.openxmlformats.org/officeDocument/2006/relationships/hyperlink" Target="http://www.sec.gov/Archives/edgar/data/1501796/000119312521307948/d243510d8a12b.htm" TargetMode="External"/><Relationship Id="rId30" Type="http://schemas.openxmlformats.org/officeDocument/2006/relationships/image" Target="media/image1.jpeg"/><Relationship Id="rId31" Type="http://schemas.openxmlformats.org/officeDocument/2006/relationships/hyperlink" Target="http://www.sec.gov/Archives/edgar/data/1501796/000119312526343429/aura-ex3_1.htm" TargetMode="External"/><Relationship Id="rId32" Type="http://schemas.openxmlformats.org/officeDocument/2006/relationships/hyperlink" Target="http://www.sec.gov/Archives/edgar/data/1501796/000095017022004425/aura-ex3_2.htm" TargetMode="External"/><Relationship Id="rId33" Type="http://schemas.openxmlformats.org/officeDocument/2006/relationships/hyperlink" Target="http://www.sec.gov/Archives/edgar/data/1501796/000119312521295543/d209588dex42.htm" TargetMode="External"/><Relationship Id="rId34" Type="http://schemas.openxmlformats.org/officeDocument/2006/relationships/hyperlink" Target="http://www.sec.gov/Archives/edgar/data/1501796/000119312521305934/d209588dex41.htm" TargetMode="External"/><Relationship Id="rId35" Type="http://schemas.openxmlformats.org/officeDocument/2006/relationships/hyperlink" Target="http://www.sec.gov/Archives/edgar/data/1501796/000119312522275062/d400450dex45.htm" TargetMode="External"/><Relationship Id="rId36" Type="http://schemas.openxmlformats.org/officeDocument/2006/relationships/hyperlink" Target="http://www.sec.gov/Archives/edgar/data/1501796/000119312522275062/d400450dex46.htm" TargetMode="External"/><Relationship Id="rId37" Type="http://schemas.openxmlformats.org/officeDocument/2006/relationships/image" Target="media/image2.jpeg"/><Relationship Id="rId38" Type="http://schemas.openxmlformats.org/officeDocument/2006/relationships/image" Target="media/image3.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120</Pages>
  <Words>59479</Words>
  <Characters>313332</Characters>
  <CharactersWithSpaces>373559</CharactersWithSpaces>
  <Paragraphs>2733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